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33D4825D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D12F8B" w:rsidRPr="00D12F8B">
        <w:rPr>
          <w:rFonts w:cs="Arial"/>
          <w:b/>
          <w:color w:val="FF0000"/>
          <w:sz w:val="21"/>
          <w:szCs w:val="21"/>
          <w:lang w:eastAsia="en-US"/>
        </w:rPr>
        <w:t>Cooker</w:t>
      </w:r>
      <w:r w:rsidR="00D12F8B">
        <w:rPr>
          <w:rFonts w:cs="Arial"/>
          <w:b/>
          <w:color w:val="FF0000"/>
          <w:sz w:val="21"/>
          <w:szCs w:val="21"/>
          <w:lang w:eastAsia="en-US"/>
        </w:rPr>
        <w:t>y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334B59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2A25873A" w:rsidR="009B5547" w:rsidRPr="00D71885" w:rsidRDefault="00D12F8B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D12F8B">
              <w:rPr>
                <w:snapToGrid w:val="0"/>
                <w:color w:val="000000"/>
                <w:lang w:eastAsia="en-US"/>
              </w:rPr>
              <w:t>Hot surfaces / liquids – burns, scalds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54D8338" w14:textId="19AC4420" w:rsidR="00D12F8B" w:rsidRPr="009E45CF" w:rsidRDefault="00D12F8B" w:rsidP="00D12F8B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12F8B">
              <w:rPr>
                <w:rFonts w:eastAsia="Calibri"/>
                <w:szCs w:val="22"/>
                <w:lang w:val="en-US"/>
              </w:rPr>
              <w:t>Adequate supervision of pupils, provision of protective gloves etc.</w:t>
            </w:r>
          </w:p>
          <w:p w14:paraId="22CE87FD" w14:textId="2CA1DCE7" w:rsidR="009B5547" w:rsidRPr="00D12F8B" w:rsidRDefault="00D12F8B" w:rsidP="00334B5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12F8B">
              <w:rPr>
                <w:rFonts w:eastAsia="Calibri"/>
                <w:szCs w:val="22"/>
                <w:lang w:val="en-US"/>
              </w:rPr>
              <w:t>Safe working procedures in place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CA32A8E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22CE880A" w14:textId="07E58A01" w:rsidR="009B5547" w:rsidRPr="00D71885" w:rsidRDefault="00D12F8B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D12F8B">
              <w:rPr>
                <w:snapToGrid w:val="0"/>
                <w:color w:val="000000"/>
                <w:lang w:eastAsia="en-US"/>
              </w:rPr>
              <w:t>Sharp utensils – cuts</w:t>
            </w:r>
          </w:p>
        </w:tc>
        <w:tc>
          <w:tcPr>
            <w:tcW w:w="1469" w:type="dxa"/>
            <w:shd w:val="clear" w:color="auto" w:fill="auto"/>
          </w:tcPr>
          <w:p w14:paraId="22CE880B" w14:textId="1BA6D5DB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80C" w14:textId="1EC02AC0" w:rsidR="009B5547" w:rsidRPr="00D12F8B" w:rsidRDefault="00D12F8B" w:rsidP="00D12F8B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D12F8B">
              <w:rPr>
                <w:snapToGrid w:val="0"/>
                <w:color w:val="000000"/>
                <w:szCs w:val="24"/>
                <w:lang w:eastAsia="en-US"/>
              </w:rPr>
              <w:t>Controlled use and storage of sharp utensils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4D57F1" w:rsidRPr="007E3E10" w14:paraId="034B7BEE" w14:textId="77777777" w:rsidTr="007F47DE">
        <w:tc>
          <w:tcPr>
            <w:tcW w:w="3175" w:type="dxa"/>
            <w:shd w:val="clear" w:color="auto" w:fill="auto"/>
          </w:tcPr>
          <w:p w14:paraId="670FD5FE" w14:textId="7448A42D" w:rsidR="004D57F1" w:rsidRPr="00D71885" w:rsidRDefault="00D12F8B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D12F8B">
              <w:rPr>
                <w:snapToGrid w:val="0"/>
                <w:color w:val="000000"/>
                <w:lang w:eastAsia="en-US"/>
              </w:rPr>
              <w:t>Gas – fire, explosion</w:t>
            </w:r>
          </w:p>
        </w:tc>
        <w:tc>
          <w:tcPr>
            <w:tcW w:w="1469" w:type="dxa"/>
            <w:shd w:val="clear" w:color="auto" w:fill="auto"/>
          </w:tcPr>
          <w:p w14:paraId="65915813" w14:textId="149055F1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BEFB108" w14:textId="70AEEBE2" w:rsidR="00D12F8B" w:rsidRDefault="00D12F8B" w:rsidP="00D12F8B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</w:pPr>
            <w:r>
              <w:t>Gas equipment under planned maintenance</w:t>
            </w:r>
          </w:p>
          <w:p w14:paraId="123A6B3D" w14:textId="38B63CBD" w:rsidR="00D12F8B" w:rsidRDefault="00D12F8B" w:rsidP="00D12F8B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</w:pPr>
            <w:r>
              <w:t>Fire risk assessment is completed</w:t>
            </w:r>
          </w:p>
          <w:p w14:paraId="13ECB2D6" w14:textId="73515518" w:rsidR="00983E87" w:rsidRPr="00983E87" w:rsidRDefault="00D12F8B" w:rsidP="00334B59">
            <w:pPr>
              <w:pStyle w:val="ListParagraph"/>
              <w:widowControl w:val="0"/>
              <w:numPr>
                <w:ilvl w:val="0"/>
                <w:numId w:val="3"/>
              </w:numPr>
              <w:ind w:left="360"/>
            </w:pPr>
            <w:r>
              <w:t>Procedure in place for evacuation e.g. gas leak/fire</w:t>
            </w:r>
          </w:p>
        </w:tc>
        <w:tc>
          <w:tcPr>
            <w:tcW w:w="709" w:type="dxa"/>
            <w:shd w:val="clear" w:color="auto" w:fill="auto"/>
          </w:tcPr>
          <w:p w14:paraId="7A957EBA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42B8E3F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5FCD74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6FDBE189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6832B0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56D75C2" w14:textId="77777777" w:rsidR="004D57F1" w:rsidRPr="007E3E10" w:rsidRDefault="004D57F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04BC" w:rsidRPr="007E3E10" w14:paraId="2437CCD0" w14:textId="77777777" w:rsidTr="007F47DE">
        <w:tc>
          <w:tcPr>
            <w:tcW w:w="3175" w:type="dxa"/>
            <w:shd w:val="clear" w:color="auto" w:fill="auto"/>
          </w:tcPr>
          <w:p w14:paraId="508D0865" w14:textId="6FED68B3" w:rsidR="009504BC" w:rsidRPr="00D71885" w:rsidRDefault="00D12F8B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D12F8B">
              <w:rPr>
                <w:snapToGrid w:val="0"/>
                <w:color w:val="000000"/>
                <w:lang w:eastAsia="en-US"/>
              </w:rPr>
              <w:t>Machinery – injury</w:t>
            </w:r>
          </w:p>
        </w:tc>
        <w:tc>
          <w:tcPr>
            <w:tcW w:w="1469" w:type="dxa"/>
            <w:shd w:val="clear" w:color="auto" w:fill="auto"/>
          </w:tcPr>
          <w:p w14:paraId="4D87EEA5" w14:textId="77777777" w:rsidR="009504BC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2DB159E" w14:textId="36E4CE8E" w:rsidR="009504BC" w:rsidRPr="00D12F8B" w:rsidRDefault="00D12F8B" w:rsidP="00D12F8B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D12F8B">
              <w:rPr>
                <w:snapToGrid w:val="0"/>
                <w:color w:val="000000"/>
                <w:szCs w:val="24"/>
                <w:lang w:eastAsia="en-US"/>
              </w:rPr>
              <w:t>Guards fitted and fully operational e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D12F8B">
              <w:rPr>
                <w:snapToGrid w:val="0"/>
                <w:color w:val="000000"/>
                <w:szCs w:val="24"/>
                <w:lang w:eastAsia="en-US"/>
              </w:rPr>
              <w:t>g. interlocks on mixers, blenders etc.</w:t>
            </w:r>
          </w:p>
        </w:tc>
        <w:tc>
          <w:tcPr>
            <w:tcW w:w="709" w:type="dxa"/>
            <w:shd w:val="clear" w:color="auto" w:fill="auto"/>
          </w:tcPr>
          <w:p w14:paraId="59D93AE5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B53DA0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D0A2C8C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A5BAF6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A65EE1F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6CE91D" w14:textId="77777777" w:rsidR="009504BC" w:rsidRPr="007E3E10" w:rsidRDefault="009504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D4E52" w:rsidRPr="007E3E10" w14:paraId="5345E9FE" w14:textId="77777777" w:rsidTr="007F47DE">
        <w:tc>
          <w:tcPr>
            <w:tcW w:w="3175" w:type="dxa"/>
            <w:shd w:val="clear" w:color="auto" w:fill="auto"/>
          </w:tcPr>
          <w:p w14:paraId="6FEA87B2" w14:textId="79CF14F3" w:rsidR="00FD4E52" w:rsidRDefault="00D12F8B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D12F8B">
              <w:rPr>
                <w:snapToGrid w:val="0"/>
                <w:color w:val="000000"/>
                <w:lang w:eastAsia="en-US"/>
              </w:rPr>
              <w:t>Slippery floors – slips, trips</w:t>
            </w:r>
          </w:p>
        </w:tc>
        <w:tc>
          <w:tcPr>
            <w:tcW w:w="1469" w:type="dxa"/>
            <w:shd w:val="clear" w:color="auto" w:fill="auto"/>
          </w:tcPr>
          <w:p w14:paraId="1364A669" w14:textId="77777777" w:rsidR="00FD4E52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CDDBFB6" w14:textId="60D12127" w:rsidR="00D12F8B" w:rsidRPr="009E45CF" w:rsidRDefault="00D12F8B" w:rsidP="00D12F8B">
            <w:pPr>
              <w:pStyle w:val="ListParagraph"/>
              <w:widowControl w:val="0"/>
              <w:numPr>
                <w:ilvl w:val="0"/>
                <w:numId w:val="4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D12F8B">
              <w:rPr>
                <w:snapToGrid w:val="0"/>
                <w:color w:val="000000"/>
                <w:szCs w:val="24"/>
                <w:lang w:eastAsia="en-US"/>
              </w:rPr>
              <w:t>No obstacles on floors, walkways and work areas free from obstruction</w:t>
            </w:r>
          </w:p>
          <w:p w14:paraId="076B606F" w14:textId="7D9B0939" w:rsidR="00D12F8B" w:rsidRPr="009E45CF" w:rsidRDefault="00D12F8B" w:rsidP="00D12F8B">
            <w:pPr>
              <w:pStyle w:val="ListParagraph"/>
              <w:widowControl w:val="0"/>
              <w:numPr>
                <w:ilvl w:val="0"/>
                <w:numId w:val="4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D12F8B">
              <w:rPr>
                <w:snapToGrid w:val="0"/>
                <w:color w:val="000000"/>
                <w:szCs w:val="24"/>
                <w:lang w:eastAsia="en-US"/>
              </w:rPr>
              <w:t>Non slip floor surfaces</w:t>
            </w:r>
          </w:p>
          <w:p w14:paraId="1FB0F064" w14:textId="1F528C97" w:rsidR="00D12F8B" w:rsidRPr="009E45CF" w:rsidRDefault="00D12F8B" w:rsidP="00D12F8B">
            <w:pPr>
              <w:pStyle w:val="ListParagraph"/>
              <w:widowControl w:val="0"/>
              <w:numPr>
                <w:ilvl w:val="0"/>
                <w:numId w:val="4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D12F8B">
              <w:rPr>
                <w:snapToGrid w:val="0"/>
                <w:color w:val="000000"/>
                <w:szCs w:val="24"/>
                <w:lang w:eastAsia="en-US"/>
              </w:rPr>
              <w:t>Prompt cleaning of spillages</w:t>
            </w:r>
            <w:bookmarkStart w:id="0" w:name="_GoBack"/>
            <w:bookmarkEnd w:id="0"/>
          </w:p>
          <w:p w14:paraId="1750CF9B" w14:textId="6F8C77A3" w:rsidR="00FD4E52" w:rsidRPr="00D12F8B" w:rsidRDefault="00D12F8B" w:rsidP="00334B59">
            <w:pPr>
              <w:pStyle w:val="ListParagraph"/>
              <w:widowControl w:val="0"/>
              <w:numPr>
                <w:ilvl w:val="0"/>
                <w:numId w:val="4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D12F8B">
              <w:rPr>
                <w:snapToGrid w:val="0"/>
                <w:color w:val="000000"/>
                <w:szCs w:val="24"/>
                <w:lang w:eastAsia="en-US"/>
              </w:rPr>
              <w:t>Supervision of pupils</w:t>
            </w:r>
          </w:p>
        </w:tc>
        <w:tc>
          <w:tcPr>
            <w:tcW w:w="709" w:type="dxa"/>
            <w:shd w:val="clear" w:color="auto" w:fill="auto"/>
          </w:tcPr>
          <w:p w14:paraId="12392F66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DC1779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47D585F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7B3FF11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F4CFEBF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7D5E1D8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D4E52" w:rsidRPr="007E3E10" w14:paraId="133188CA" w14:textId="77777777" w:rsidTr="007F47DE">
        <w:tc>
          <w:tcPr>
            <w:tcW w:w="3175" w:type="dxa"/>
            <w:shd w:val="clear" w:color="auto" w:fill="auto"/>
          </w:tcPr>
          <w:p w14:paraId="61AC6F9B" w14:textId="2848317E" w:rsidR="00FD4E52" w:rsidRDefault="00D12F8B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D12F8B">
              <w:rPr>
                <w:snapToGrid w:val="0"/>
                <w:color w:val="000000"/>
                <w:lang w:eastAsia="en-US"/>
              </w:rPr>
              <w:t>Electricity – electric shock</w:t>
            </w:r>
          </w:p>
        </w:tc>
        <w:tc>
          <w:tcPr>
            <w:tcW w:w="1469" w:type="dxa"/>
            <w:shd w:val="clear" w:color="auto" w:fill="auto"/>
          </w:tcPr>
          <w:p w14:paraId="2F427CCE" w14:textId="77777777" w:rsidR="00FD4E52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4BAA91A" w14:textId="70C8BE4B" w:rsidR="00FD4E52" w:rsidRPr="007B08D1" w:rsidRDefault="007B08D1" w:rsidP="007B08D1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7B08D1">
              <w:rPr>
                <w:snapToGrid w:val="0"/>
                <w:color w:val="000000"/>
                <w:szCs w:val="24"/>
                <w:lang w:eastAsia="en-US"/>
              </w:rPr>
              <w:t xml:space="preserve">Equipment is subject to portable appliance testing, visual inspection and fixed appliance </w:t>
            </w:r>
            <w:r w:rsidRPr="007B08D1">
              <w:rPr>
                <w:snapToGrid w:val="0"/>
                <w:color w:val="000000"/>
                <w:szCs w:val="24"/>
                <w:lang w:eastAsia="en-US"/>
              </w:rPr>
              <w:lastRenderedPageBreak/>
              <w:t>testing</w:t>
            </w:r>
          </w:p>
        </w:tc>
        <w:tc>
          <w:tcPr>
            <w:tcW w:w="709" w:type="dxa"/>
            <w:shd w:val="clear" w:color="auto" w:fill="auto"/>
          </w:tcPr>
          <w:p w14:paraId="27F6221D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88779F2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05DF05C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5EDAE325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48E7AC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EC742C" w14:textId="77777777" w:rsidR="00FD4E52" w:rsidRPr="007E3E10" w:rsidRDefault="00FD4E5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33951572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238EAD24" w:rsidR="00C65FE2" w:rsidRPr="004D57F1" w:rsidRDefault="00C65FE2" w:rsidP="00D12F8B">
            <w:pPr>
              <w:pStyle w:val="Style"/>
              <w:ind w:left="360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23AB6" w14:textId="77777777" w:rsidR="0012561C" w:rsidRDefault="0012561C">
      <w:r>
        <w:separator/>
      </w:r>
    </w:p>
  </w:endnote>
  <w:endnote w:type="continuationSeparator" w:id="0">
    <w:p w14:paraId="2C90F144" w14:textId="77777777" w:rsidR="0012561C" w:rsidRDefault="0012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81174" w14:textId="77777777" w:rsidR="0012561C" w:rsidRDefault="0012561C">
      <w:r>
        <w:separator/>
      </w:r>
    </w:p>
  </w:footnote>
  <w:footnote w:type="continuationSeparator" w:id="0">
    <w:p w14:paraId="72187920" w14:textId="77777777" w:rsidR="0012561C" w:rsidRDefault="0012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9E45CF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9C0"/>
    <w:multiLevelType w:val="hybridMultilevel"/>
    <w:tmpl w:val="7FECFF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">
    <w:nsid w:val="62022436"/>
    <w:multiLevelType w:val="hybridMultilevel"/>
    <w:tmpl w:val="C0064B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F76EE"/>
    <w:multiLevelType w:val="hybridMultilevel"/>
    <w:tmpl w:val="ABDC99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F3B4F"/>
    <w:rsid w:val="00101D55"/>
    <w:rsid w:val="00120D9F"/>
    <w:rsid w:val="0012561C"/>
    <w:rsid w:val="001669F8"/>
    <w:rsid w:val="00194829"/>
    <w:rsid w:val="001A309A"/>
    <w:rsid w:val="001F6A5C"/>
    <w:rsid w:val="002062B0"/>
    <w:rsid w:val="00265136"/>
    <w:rsid w:val="002B2C20"/>
    <w:rsid w:val="002D05F4"/>
    <w:rsid w:val="00334B59"/>
    <w:rsid w:val="003E0F5D"/>
    <w:rsid w:val="003E1694"/>
    <w:rsid w:val="00403CB1"/>
    <w:rsid w:val="00407A8F"/>
    <w:rsid w:val="00425DF1"/>
    <w:rsid w:val="00442FE0"/>
    <w:rsid w:val="004D57F1"/>
    <w:rsid w:val="004E7A04"/>
    <w:rsid w:val="0050014E"/>
    <w:rsid w:val="00527F8C"/>
    <w:rsid w:val="005D41B0"/>
    <w:rsid w:val="00634DF1"/>
    <w:rsid w:val="00646395"/>
    <w:rsid w:val="00691962"/>
    <w:rsid w:val="006D6512"/>
    <w:rsid w:val="006E5A60"/>
    <w:rsid w:val="00707C7F"/>
    <w:rsid w:val="00764E00"/>
    <w:rsid w:val="00771789"/>
    <w:rsid w:val="00795C36"/>
    <w:rsid w:val="007B08D1"/>
    <w:rsid w:val="007D6B5B"/>
    <w:rsid w:val="007E6CEA"/>
    <w:rsid w:val="007F47DE"/>
    <w:rsid w:val="00825F13"/>
    <w:rsid w:val="00891EEB"/>
    <w:rsid w:val="008C2224"/>
    <w:rsid w:val="00916F56"/>
    <w:rsid w:val="009325CB"/>
    <w:rsid w:val="00941D4B"/>
    <w:rsid w:val="009504BC"/>
    <w:rsid w:val="009724B5"/>
    <w:rsid w:val="00983E87"/>
    <w:rsid w:val="009A686C"/>
    <w:rsid w:val="009B5547"/>
    <w:rsid w:val="009E45CF"/>
    <w:rsid w:val="00A12F64"/>
    <w:rsid w:val="00A75021"/>
    <w:rsid w:val="00A97ACD"/>
    <w:rsid w:val="00AA237D"/>
    <w:rsid w:val="00B23331"/>
    <w:rsid w:val="00B32C0C"/>
    <w:rsid w:val="00B512AF"/>
    <w:rsid w:val="00B771C5"/>
    <w:rsid w:val="00BB578C"/>
    <w:rsid w:val="00BF1BF6"/>
    <w:rsid w:val="00C17923"/>
    <w:rsid w:val="00C65FE2"/>
    <w:rsid w:val="00CB1585"/>
    <w:rsid w:val="00CB3E46"/>
    <w:rsid w:val="00CC350C"/>
    <w:rsid w:val="00D111C6"/>
    <w:rsid w:val="00D12F8B"/>
    <w:rsid w:val="00D276B7"/>
    <w:rsid w:val="00D31B61"/>
    <w:rsid w:val="00D55796"/>
    <w:rsid w:val="00D71885"/>
    <w:rsid w:val="00D90F77"/>
    <w:rsid w:val="00DA573E"/>
    <w:rsid w:val="00E04A96"/>
    <w:rsid w:val="00E1501A"/>
    <w:rsid w:val="00E83031"/>
    <w:rsid w:val="00EA02E3"/>
    <w:rsid w:val="00EC1309"/>
    <w:rsid w:val="00ED1CA7"/>
    <w:rsid w:val="00F36A66"/>
    <w:rsid w:val="00F52C86"/>
    <w:rsid w:val="00FB094B"/>
    <w:rsid w:val="00FD4E52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DAE5AB3-5DD1-468C-B3D7-060AEC91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1975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2019-05-20T15:59:00Z</dcterms:created>
  <dcterms:modified xsi:type="dcterms:W3CDTF">2019-05-24T11:56:00Z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