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0A9369D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3E672F" w:rsidRPr="003E672F">
        <w:rPr>
          <w:rFonts w:cs="Arial"/>
          <w:b/>
          <w:color w:val="FF0000"/>
          <w:sz w:val="21"/>
          <w:szCs w:val="21"/>
          <w:lang w:eastAsia="en-US"/>
        </w:rPr>
        <w:t>Evacuation Chair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74A33839" w:rsidR="00F47C7F" w:rsidRPr="00D71885" w:rsidRDefault="003E672F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E672F">
              <w:rPr>
                <w:snapToGrid w:val="0"/>
                <w:color w:val="000000"/>
                <w:lang w:eastAsia="en-US"/>
              </w:rPr>
              <w:t>Preparing to Evacuate using the Chair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24A26B1" w14:textId="15543F58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Remove the dust cover from the chair and store away from harm.</w:t>
            </w:r>
          </w:p>
          <w:p w14:paraId="71C110F5" w14:textId="1943A685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Do not lift the Evac Chair by the handle at this stage as it will slide up suddenly and may hit the operator.</w:t>
            </w:r>
          </w:p>
          <w:p w14:paraId="2715899B" w14:textId="6EBA38D2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 xml:space="preserve">The Occupant MUST </w:t>
            </w:r>
            <w:proofErr w:type="gramStart"/>
            <w:r w:rsidRPr="003E672F">
              <w:rPr>
                <w:rFonts w:eastAsia="Calibri"/>
                <w:szCs w:val="22"/>
                <w:lang w:val="en-US"/>
              </w:rPr>
              <w:t>be</w:t>
            </w:r>
            <w:proofErr w:type="gramEnd"/>
            <w:r w:rsidRPr="003E672F">
              <w:rPr>
                <w:rFonts w:eastAsia="Calibri"/>
                <w:szCs w:val="22"/>
                <w:lang w:val="en-US"/>
              </w:rPr>
              <w:t xml:space="preserve"> able to transfer themselves into the </w:t>
            </w:r>
            <w:r w:rsidR="00933366" w:rsidRPr="003E672F">
              <w:rPr>
                <w:rFonts w:eastAsia="Calibri"/>
                <w:szCs w:val="22"/>
                <w:lang w:val="en-US"/>
              </w:rPr>
              <w:t>Evac</w:t>
            </w:r>
            <w:r w:rsidRPr="003E672F">
              <w:rPr>
                <w:rFonts w:eastAsia="Calibri"/>
                <w:szCs w:val="22"/>
                <w:lang w:val="en-US"/>
              </w:rPr>
              <w:t xml:space="preserve"> chair.  It is permissible for the Operator to assist by allowing their arm to be used but physical lifting must not be attempted.</w:t>
            </w:r>
          </w:p>
          <w:p w14:paraId="1C6D586C" w14:textId="318CF7D9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 xml:space="preserve">The maximum weight allowance for the </w:t>
            </w:r>
            <w:r w:rsidR="00933366" w:rsidRPr="003E672F">
              <w:rPr>
                <w:rFonts w:eastAsia="Calibri"/>
                <w:szCs w:val="22"/>
                <w:lang w:val="en-US"/>
              </w:rPr>
              <w:t>Evac</w:t>
            </w:r>
            <w:r w:rsidRPr="003E672F">
              <w:rPr>
                <w:rFonts w:eastAsia="Calibri"/>
                <w:szCs w:val="22"/>
                <w:lang w:val="en-US"/>
              </w:rPr>
              <w:t xml:space="preserve"> chair is 150kg (approximately 23 stones) and should not be exceeded.</w:t>
            </w:r>
          </w:p>
          <w:p w14:paraId="29E5EEB8" w14:textId="77777777" w:rsidR="003E672F" w:rsidRPr="003E672F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 xml:space="preserve">If the Occupant is unable to transfer </w:t>
            </w:r>
            <w:proofErr w:type="gramStart"/>
            <w:r w:rsidRPr="003E672F">
              <w:rPr>
                <w:rFonts w:eastAsia="Calibri"/>
                <w:szCs w:val="22"/>
                <w:lang w:val="en-US"/>
              </w:rPr>
              <w:t>themselves</w:t>
            </w:r>
            <w:proofErr w:type="gramEnd"/>
            <w:r w:rsidRPr="003E672F">
              <w:rPr>
                <w:rFonts w:eastAsia="Calibri"/>
                <w:szCs w:val="22"/>
                <w:lang w:val="en-US"/>
              </w:rPr>
              <w:t xml:space="preserve"> then their location should be noted and reported to the Security Officer leading the evacuation who will report </w:t>
            </w:r>
            <w:r w:rsidRPr="003E672F">
              <w:rPr>
                <w:rFonts w:eastAsia="Calibri"/>
                <w:szCs w:val="22"/>
                <w:lang w:val="en-US"/>
              </w:rPr>
              <w:lastRenderedPageBreak/>
              <w:t>their presence to the Fire &amp; Rescue Service.</w:t>
            </w:r>
          </w:p>
          <w:p w14:paraId="2F27FBC0" w14:textId="1CBE7910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 xml:space="preserve">Ensure the Occupant has fastened their seat belt and is secure in the chair. </w:t>
            </w:r>
          </w:p>
          <w:p w14:paraId="74B7DDBC" w14:textId="0E479BB0" w:rsidR="003E672F" w:rsidRDefault="00933366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Maneuver</w:t>
            </w:r>
            <w:r w:rsidR="003E672F" w:rsidRPr="003E672F">
              <w:rPr>
                <w:rFonts w:eastAsia="Calibri"/>
                <w:szCs w:val="22"/>
                <w:lang w:val="en-US"/>
              </w:rPr>
              <w:t xml:space="preserve"> the chair to the top of the stairs, using supporting wheels if necessary and commence evacuation procedure as trained.</w:t>
            </w:r>
          </w:p>
          <w:p w14:paraId="6C2C58BF" w14:textId="77777777" w:rsidR="00BC3204" w:rsidRPr="00BC3204" w:rsidRDefault="00BC3204" w:rsidP="00BC3204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  <w:p w14:paraId="4CC2665D" w14:textId="5F932CA3" w:rsidR="003E672F" w:rsidRPr="003E672F" w:rsidRDefault="003E672F" w:rsidP="003E672F">
            <w:pPr>
              <w:pStyle w:val="ListParagraph"/>
              <w:ind w:left="360"/>
              <w:rPr>
                <w:rFonts w:eastAsia="Calibri"/>
                <w:b/>
                <w:szCs w:val="22"/>
                <w:lang w:val="en-US"/>
              </w:rPr>
            </w:pPr>
            <w:r w:rsidRPr="003E672F">
              <w:rPr>
                <w:rFonts w:eastAsia="Calibri"/>
                <w:b/>
                <w:szCs w:val="22"/>
                <w:lang w:val="en-US"/>
              </w:rPr>
              <w:t xml:space="preserve">DO NOT </w:t>
            </w:r>
            <w:r w:rsidR="00933366" w:rsidRPr="003E672F">
              <w:rPr>
                <w:rFonts w:eastAsia="Calibri"/>
                <w:b/>
                <w:szCs w:val="22"/>
                <w:lang w:val="en-US"/>
              </w:rPr>
              <w:t>DESCEND</w:t>
            </w:r>
            <w:r w:rsidRPr="003E672F">
              <w:rPr>
                <w:rFonts w:eastAsia="Calibri"/>
                <w:b/>
                <w:szCs w:val="22"/>
                <w:lang w:val="en-US"/>
              </w:rPr>
              <w:t xml:space="preserve"> THE STAIRS WITH TROLLEY WHEELS DOWN. </w:t>
            </w:r>
          </w:p>
          <w:p w14:paraId="58DDDB5F" w14:textId="77777777" w:rsidR="003E672F" w:rsidRPr="003E672F" w:rsidRDefault="003E672F" w:rsidP="003E672F">
            <w:pPr>
              <w:rPr>
                <w:rFonts w:eastAsia="Calibri"/>
                <w:szCs w:val="22"/>
                <w:lang w:val="en-US"/>
              </w:rPr>
            </w:pPr>
          </w:p>
          <w:p w14:paraId="6E54A808" w14:textId="57EF8222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Stay at the inside edge of the stairs at all times to allow other building users room to use the other side of the stairs.</w:t>
            </w:r>
          </w:p>
          <w:p w14:paraId="7E9CC8EB" w14:textId="377019A1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NEVER let go of the chair once it is under your control.</w:t>
            </w:r>
          </w:p>
          <w:p w14:paraId="5FD4E531" w14:textId="77777777" w:rsidR="003E672F" w:rsidRPr="003E672F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In the event of more than one operator being present at a refuge, the other operator should assume the role of “buddy”, assisting and supporting the operators during evacuation.</w:t>
            </w:r>
          </w:p>
          <w:p w14:paraId="395B63D5" w14:textId="46FB5663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Use chair as practiced during training sessions.</w:t>
            </w:r>
          </w:p>
          <w:p w14:paraId="7EAAB3C9" w14:textId="700A166D" w:rsidR="003E672F" w:rsidRPr="00BC3204" w:rsidRDefault="003E672F" w:rsidP="00BC3204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 xml:space="preserve">If evacuation is down a number of stairs the operator and buddy (if they are </w:t>
            </w:r>
            <w:r w:rsidRPr="003E672F">
              <w:rPr>
                <w:rFonts w:eastAsia="Calibri"/>
                <w:szCs w:val="22"/>
                <w:lang w:val="en-US"/>
              </w:rPr>
              <w:lastRenderedPageBreak/>
              <w:t xml:space="preserve">trained) may find it useful to alternate roles to avoid unnecessary fatigue. </w:t>
            </w:r>
          </w:p>
          <w:p w14:paraId="68843600" w14:textId="156A64CB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Once at the ground floor the trolley wheels may be deployed and the occupant wheeled to the designated Fire Assembly Area.</w:t>
            </w:r>
          </w:p>
          <w:p w14:paraId="4E74F0DC" w14:textId="53A345BA" w:rsidR="003E672F" w:rsidRPr="00BC3204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Follow the designated route to the assembly area for your building.</w:t>
            </w:r>
          </w:p>
          <w:p w14:paraId="22CE87FD" w14:textId="774912D7" w:rsidR="00467CAD" w:rsidRPr="003E672F" w:rsidRDefault="003E672F" w:rsidP="003E672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Stay with the occupant until given the “all clear” or alternative instruction from the Fire &amp; Rescue Service.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5777B0D1" w:rsidR="009B5547" w:rsidRPr="007E3E10" w:rsidRDefault="003E672F" w:rsidP="003E672F">
            <w:pPr>
              <w:rPr>
                <w:rFonts w:eastAsia="Calibri"/>
                <w:szCs w:val="22"/>
                <w:lang w:val="en-US"/>
              </w:rPr>
            </w:pPr>
            <w:r w:rsidRPr="003E672F">
              <w:rPr>
                <w:rFonts w:eastAsia="Calibri"/>
                <w:szCs w:val="22"/>
                <w:lang w:val="en-US"/>
              </w:rPr>
              <w:t>Ensure the individual to be evacuated has a Personal Emergency Evacuation Plan (PEEP)</w:t>
            </w:r>
            <w:r>
              <w:rPr>
                <w:rFonts w:eastAsia="Calibri"/>
                <w:szCs w:val="22"/>
                <w:lang w:val="en-US"/>
              </w:rPr>
              <w:t xml:space="preserve"> w</w:t>
            </w:r>
            <w:r w:rsidRPr="003E672F">
              <w:rPr>
                <w:rFonts w:eastAsia="Calibri"/>
                <w:szCs w:val="22"/>
                <w:lang w:val="en-US"/>
              </w:rPr>
              <w:t>hich is regularly reviewed.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3E672F">
        <w:tc>
          <w:tcPr>
            <w:tcW w:w="3175" w:type="dxa"/>
            <w:shd w:val="clear" w:color="auto" w:fill="auto"/>
          </w:tcPr>
          <w:p w14:paraId="4AEBA01A" w14:textId="1EAC968F" w:rsidR="00E83031" w:rsidRPr="00D71885" w:rsidRDefault="003E672F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3E672F">
              <w:rPr>
                <w:snapToGrid w:val="0"/>
                <w:color w:val="000000"/>
                <w:lang w:eastAsia="en-US"/>
              </w:rPr>
              <w:lastRenderedPageBreak/>
              <w:t>Manual Handling Injuries including strains, sprains from incorrect handling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3AAEEA0" w14:textId="1365C57F" w:rsidR="003E672F" w:rsidRPr="00BC3204" w:rsidRDefault="003E672F" w:rsidP="003E672F">
            <w:pPr>
              <w:pStyle w:val="ListParagraph"/>
              <w:widowControl w:val="0"/>
              <w:numPr>
                <w:ilvl w:val="0"/>
                <w:numId w:val="19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3E672F">
              <w:rPr>
                <w:snapToGrid w:val="0"/>
                <w:color w:val="000000"/>
                <w:szCs w:val="24"/>
                <w:lang w:eastAsia="en-US"/>
              </w:rPr>
              <w:t xml:space="preserve">All </w:t>
            </w:r>
            <w:r w:rsidR="00933366" w:rsidRPr="003E672F">
              <w:rPr>
                <w:snapToGrid w:val="0"/>
                <w:color w:val="000000"/>
                <w:szCs w:val="24"/>
                <w:lang w:eastAsia="en-US"/>
              </w:rPr>
              <w:t>Evac</w:t>
            </w:r>
            <w:r w:rsidRPr="003E672F">
              <w:rPr>
                <w:snapToGrid w:val="0"/>
                <w:color w:val="000000"/>
                <w:szCs w:val="24"/>
                <w:lang w:eastAsia="en-US"/>
              </w:rPr>
              <w:t xml:space="preserve"> chair operators must be trained in order to operate the chairs.  Training is available by contacting the Health &amp; Safety Adviser / Building Manager.</w:t>
            </w:r>
          </w:p>
          <w:p w14:paraId="54C68F48" w14:textId="07801B4B" w:rsidR="003E672F" w:rsidRPr="00BC3204" w:rsidRDefault="003E672F" w:rsidP="003E672F">
            <w:pPr>
              <w:pStyle w:val="ListParagraph"/>
              <w:widowControl w:val="0"/>
              <w:numPr>
                <w:ilvl w:val="0"/>
                <w:numId w:val="19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Self-</w:t>
            </w:r>
            <w:r w:rsidRPr="003E672F">
              <w:rPr>
                <w:snapToGrid w:val="0"/>
                <w:color w:val="000000"/>
                <w:szCs w:val="24"/>
                <w:lang w:eastAsia="en-US"/>
              </w:rPr>
              <w:t>refresher practice sessions are advised whenever possible.</w:t>
            </w:r>
          </w:p>
          <w:p w14:paraId="4C0496DD" w14:textId="7C6E5D83" w:rsidR="003E672F" w:rsidRPr="00BC3204" w:rsidRDefault="003E672F" w:rsidP="003E672F">
            <w:pPr>
              <w:pStyle w:val="ListParagraph"/>
              <w:widowControl w:val="0"/>
              <w:numPr>
                <w:ilvl w:val="0"/>
                <w:numId w:val="19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3E672F">
              <w:rPr>
                <w:snapToGrid w:val="0"/>
                <w:color w:val="000000"/>
                <w:szCs w:val="24"/>
                <w:lang w:eastAsia="en-US"/>
              </w:rPr>
              <w:t xml:space="preserve">Any operator with a physical injury, or a new or expectant mother, must not operate the </w:t>
            </w:r>
            <w:r w:rsidR="00933366" w:rsidRPr="003E672F">
              <w:rPr>
                <w:snapToGrid w:val="0"/>
                <w:color w:val="000000"/>
                <w:szCs w:val="24"/>
                <w:lang w:eastAsia="en-US"/>
              </w:rPr>
              <w:t>Evac</w:t>
            </w:r>
            <w:r w:rsidRPr="003E672F">
              <w:rPr>
                <w:snapToGrid w:val="0"/>
                <w:color w:val="000000"/>
                <w:szCs w:val="24"/>
                <w:lang w:eastAsia="en-US"/>
              </w:rPr>
              <w:t xml:space="preserve"> chair.</w:t>
            </w:r>
            <w:bookmarkStart w:id="0" w:name="_GoBack"/>
            <w:bookmarkEnd w:id="0"/>
          </w:p>
          <w:p w14:paraId="671C6C15" w14:textId="13F8C4C3" w:rsidR="003E672F" w:rsidRPr="003E672F" w:rsidRDefault="003E672F" w:rsidP="003E672F">
            <w:pPr>
              <w:pStyle w:val="ListParagraph"/>
              <w:widowControl w:val="0"/>
              <w:numPr>
                <w:ilvl w:val="0"/>
                <w:numId w:val="19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3E672F">
              <w:rPr>
                <w:snapToGrid w:val="0"/>
                <w:color w:val="000000"/>
                <w:szCs w:val="24"/>
                <w:lang w:eastAsia="en-US"/>
              </w:rPr>
              <w:t xml:space="preserve">In the event of emergency alarm activation, operators should make their way to the nearest </w:t>
            </w:r>
            <w:r w:rsidR="00933366" w:rsidRPr="003E672F">
              <w:rPr>
                <w:snapToGrid w:val="0"/>
                <w:color w:val="000000"/>
                <w:szCs w:val="24"/>
                <w:lang w:eastAsia="en-US"/>
              </w:rPr>
              <w:t>Evac</w:t>
            </w:r>
            <w:r w:rsidRPr="003E672F">
              <w:rPr>
                <w:snapToGrid w:val="0"/>
                <w:color w:val="000000"/>
                <w:szCs w:val="24"/>
                <w:lang w:eastAsia="en-US"/>
              </w:rPr>
              <w:t xml:space="preserve"> chair point / refuge area / designated area on their way out of the building.   </w:t>
            </w:r>
          </w:p>
          <w:p w14:paraId="486B4CA0" w14:textId="77777777" w:rsidR="003E672F" w:rsidRPr="003E672F" w:rsidRDefault="003E672F" w:rsidP="003E672F">
            <w:pPr>
              <w:pStyle w:val="ListParagraph"/>
              <w:widowControl w:val="0"/>
              <w:numPr>
                <w:ilvl w:val="0"/>
                <w:numId w:val="19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3E672F">
              <w:rPr>
                <w:snapToGrid w:val="0"/>
                <w:color w:val="000000"/>
                <w:szCs w:val="24"/>
                <w:lang w:eastAsia="en-US"/>
              </w:rPr>
              <w:lastRenderedPageBreak/>
              <w:t>Under no circumstances should an operator put themselves at risk by trying to reach a refuge area where the fire is. The location of the fire should be noted and reported to the Security Officer leading the evacuation.</w:t>
            </w:r>
          </w:p>
          <w:p w14:paraId="57677EA6" w14:textId="77777777" w:rsidR="003E672F" w:rsidRPr="003E672F" w:rsidRDefault="003E672F" w:rsidP="003E672F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</w:p>
          <w:p w14:paraId="144049DA" w14:textId="38728F0E" w:rsidR="00E83031" w:rsidRPr="003E672F" w:rsidRDefault="003E672F" w:rsidP="003E672F">
            <w:pPr>
              <w:pStyle w:val="ListParagraph"/>
              <w:widowControl w:val="0"/>
              <w:ind w:left="360"/>
              <w:rPr>
                <w:b/>
                <w:snapToGrid w:val="0"/>
                <w:color w:val="000000"/>
                <w:szCs w:val="24"/>
                <w:lang w:eastAsia="en-US"/>
              </w:rPr>
            </w:pPr>
            <w:r w:rsidRPr="003E672F">
              <w:rPr>
                <w:b/>
                <w:snapToGrid w:val="0"/>
                <w:color w:val="000000"/>
                <w:szCs w:val="24"/>
                <w:lang w:eastAsia="en-US"/>
              </w:rPr>
              <w:t>If the refuge has two-way communication points, contact should be made with the Lead Security Officer of the Fire Response Team who will advise the next course of action – i.e. if it is a drill or false alarm then evacuation should not take place.  If it is a fire or unknown situation begin to evacuate vertically out of the building.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99DF" w14:textId="77777777" w:rsidR="00B1768E" w:rsidRDefault="00B1768E">
      <w:r>
        <w:separator/>
      </w:r>
    </w:p>
  </w:endnote>
  <w:endnote w:type="continuationSeparator" w:id="0">
    <w:p w14:paraId="7BD6D050" w14:textId="77777777" w:rsidR="00B1768E" w:rsidRDefault="00B1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61629" w14:textId="77777777" w:rsidR="00B1768E" w:rsidRDefault="00B1768E">
      <w:r>
        <w:separator/>
      </w:r>
    </w:p>
  </w:footnote>
  <w:footnote w:type="continuationSeparator" w:id="0">
    <w:p w14:paraId="156780A9" w14:textId="77777777" w:rsidR="00B1768E" w:rsidRDefault="00B1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BC3204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2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4"/>
  </w:num>
  <w:num w:numId="10">
    <w:abstractNumId w:val="17"/>
  </w:num>
  <w:num w:numId="11">
    <w:abstractNumId w:val="1"/>
  </w:num>
  <w:num w:numId="12">
    <w:abstractNumId w:val="13"/>
  </w:num>
  <w:num w:numId="13">
    <w:abstractNumId w:val="4"/>
  </w:num>
  <w:num w:numId="14">
    <w:abstractNumId w:val="15"/>
  </w:num>
  <w:num w:numId="15">
    <w:abstractNumId w:val="9"/>
  </w:num>
  <w:num w:numId="16">
    <w:abstractNumId w:val="16"/>
  </w:num>
  <w:num w:numId="17">
    <w:abstractNumId w:val="10"/>
  </w:num>
  <w:num w:numId="18">
    <w:abstractNumId w:val="3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279C1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7F8C"/>
    <w:rsid w:val="005D41B0"/>
    <w:rsid w:val="00634DF1"/>
    <w:rsid w:val="00646395"/>
    <w:rsid w:val="006651B2"/>
    <w:rsid w:val="00691962"/>
    <w:rsid w:val="006D6512"/>
    <w:rsid w:val="006E5A60"/>
    <w:rsid w:val="00707C7F"/>
    <w:rsid w:val="00764E00"/>
    <w:rsid w:val="00771789"/>
    <w:rsid w:val="00787AD3"/>
    <w:rsid w:val="00795C36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B1768E"/>
    <w:rsid w:val="00B23331"/>
    <w:rsid w:val="00B32C0C"/>
    <w:rsid w:val="00B771C5"/>
    <w:rsid w:val="00BB578C"/>
    <w:rsid w:val="00BC3204"/>
    <w:rsid w:val="00BF1BF6"/>
    <w:rsid w:val="00C068E3"/>
    <w:rsid w:val="00C17923"/>
    <w:rsid w:val="00C65FE2"/>
    <w:rsid w:val="00C779A4"/>
    <w:rsid w:val="00CB1585"/>
    <w:rsid w:val="00CB3E46"/>
    <w:rsid w:val="00D0552E"/>
    <w:rsid w:val="00D111C6"/>
    <w:rsid w:val="00D276B7"/>
    <w:rsid w:val="00D31B61"/>
    <w:rsid w:val="00D55796"/>
    <w:rsid w:val="00D71885"/>
    <w:rsid w:val="00D85296"/>
    <w:rsid w:val="00D90F77"/>
    <w:rsid w:val="00DA573E"/>
    <w:rsid w:val="00E04A96"/>
    <w:rsid w:val="00E1501A"/>
    <w:rsid w:val="00E411D5"/>
    <w:rsid w:val="00E4720F"/>
    <w:rsid w:val="00E83031"/>
    <w:rsid w:val="00EA02E3"/>
    <w:rsid w:val="00EC1309"/>
    <w:rsid w:val="00ED1CA7"/>
    <w:rsid w:val="00EE2902"/>
    <w:rsid w:val="00EF0679"/>
    <w:rsid w:val="00F36A66"/>
    <w:rsid w:val="00F47C7F"/>
    <w:rsid w:val="00F52C86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F4603CE3-6228-4E79-9E97-9B7BBE02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4282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2019-05-21T15:26:00Z</dcterms:created>
  <dcterms:modified xsi:type="dcterms:W3CDTF">2019-05-24T11:42:00Z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