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511A0838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66E380AE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bookmarkStart w:id="0" w:name="_GoBack"/>
      <w:r w:rsidR="002C28B1">
        <w:rPr>
          <w:rFonts w:cs="Arial"/>
          <w:b/>
          <w:color w:val="FF0000"/>
          <w:sz w:val="21"/>
          <w:szCs w:val="21"/>
          <w:lang w:eastAsia="en-US"/>
        </w:rPr>
        <w:t>Po</w:t>
      </w:r>
      <w:r w:rsidR="004A073D">
        <w:rPr>
          <w:rFonts w:cs="Arial"/>
          <w:b/>
          <w:color w:val="FF0000"/>
          <w:sz w:val="21"/>
          <w:szCs w:val="21"/>
          <w:lang w:eastAsia="en-US"/>
        </w:rPr>
        <w:t>rtable Heaters</w:t>
      </w:r>
      <w:bookmarkEnd w:id="0"/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 = Employee        </w:t>
            </w:r>
            <w:proofErr w:type="spellStart"/>
            <w:r>
              <w:rPr>
                <w:rFonts w:cs="Arial"/>
                <w:sz w:val="14"/>
                <w:szCs w:val="14"/>
              </w:rPr>
              <w:t>YP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7F47DE">
        <w:tc>
          <w:tcPr>
            <w:tcW w:w="3175" w:type="dxa"/>
            <w:shd w:val="clear" w:color="auto" w:fill="auto"/>
          </w:tcPr>
          <w:p w14:paraId="22CE87EC" w14:textId="7B2042AD" w:rsidR="009B5547" w:rsidRPr="00C9082D" w:rsidRDefault="00135313" w:rsidP="006920CA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Risk of Injury</w:t>
            </w:r>
          </w:p>
        </w:tc>
        <w:tc>
          <w:tcPr>
            <w:tcW w:w="1469" w:type="dxa"/>
            <w:shd w:val="clear" w:color="auto" w:fill="auto"/>
          </w:tcPr>
          <w:p w14:paraId="22CE87ED" w14:textId="4E96207B" w:rsidR="009B5547" w:rsidRPr="007E3E10" w:rsidRDefault="009B5547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C090AD0" w14:textId="77777777" w:rsidR="004A073D" w:rsidRPr="004A073D" w:rsidRDefault="004A073D" w:rsidP="004A073D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4A073D">
              <w:rPr>
                <w:rFonts w:eastAsia="Calibri"/>
                <w:szCs w:val="22"/>
                <w:lang w:val="en-US"/>
              </w:rPr>
              <w:t>Adequate supervision of pupils</w:t>
            </w:r>
          </w:p>
          <w:p w14:paraId="11F0B903" w14:textId="772D1E80" w:rsidR="004A073D" w:rsidRPr="004A073D" w:rsidRDefault="004A073D" w:rsidP="004A073D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4A073D">
              <w:rPr>
                <w:rFonts w:eastAsia="Calibri"/>
                <w:szCs w:val="22"/>
                <w:lang w:val="en-US"/>
              </w:rPr>
              <w:t>Immediate safe storage after use</w:t>
            </w:r>
          </w:p>
          <w:p w14:paraId="0FC417B1" w14:textId="77777777" w:rsidR="004A073D" w:rsidRPr="004A073D" w:rsidRDefault="004A073D" w:rsidP="00135313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4A073D">
              <w:rPr>
                <w:rFonts w:eastAsia="Calibri"/>
                <w:szCs w:val="22"/>
                <w:lang w:val="en-US"/>
              </w:rPr>
              <w:t>Portable appliance testing (PAT)</w:t>
            </w:r>
          </w:p>
          <w:p w14:paraId="1FAAEA6D" w14:textId="77777777" w:rsidR="004A073D" w:rsidRDefault="004A073D" w:rsidP="006920CA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4A073D">
              <w:rPr>
                <w:rFonts w:eastAsia="Calibri"/>
                <w:szCs w:val="22"/>
                <w:lang w:val="en-US"/>
              </w:rPr>
              <w:t>Regular visual inspection</w:t>
            </w:r>
          </w:p>
          <w:p w14:paraId="452C1733" w14:textId="77777777" w:rsidR="00135313" w:rsidRPr="00135313" w:rsidRDefault="00135313" w:rsidP="00135313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 w:rsidRPr="00135313">
              <w:rPr>
                <w:rFonts w:eastAsia="Calibri"/>
                <w:szCs w:val="22"/>
                <w:lang w:val="en-US"/>
              </w:rPr>
              <w:t>Portable heaters should be maintained regularly in accordance with the manufacturer’s instructions.</w:t>
            </w:r>
          </w:p>
          <w:p w14:paraId="4782DA1E" w14:textId="77777777" w:rsidR="00135313" w:rsidRPr="00135313" w:rsidRDefault="00135313" w:rsidP="00135313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r w:rsidRPr="00135313">
              <w:rPr>
                <w:rFonts w:eastAsia="Calibri"/>
                <w:szCs w:val="22"/>
                <w:lang w:val="en-US"/>
              </w:rPr>
              <w:t>Maintenance, testing and cleaning undertaken by the user should be recorded together with details of</w:t>
            </w:r>
          </w:p>
          <w:p w14:paraId="01F67B88" w14:textId="25A04FF4" w:rsidR="00135313" w:rsidRPr="00135313" w:rsidRDefault="00135313" w:rsidP="00135313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proofErr w:type="gramStart"/>
            <w:r w:rsidRPr="00135313">
              <w:rPr>
                <w:rFonts w:eastAsia="Calibri"/>
                <w:szCs w:val="22"/>
                <w:lang w:val="en-US"/>
              </w:rPr>
              <w:t>periodic</w:t>
            </w:r>
            <w:proofErr w:type="gramEnd"/>
            <w:r w:rsidRPr="00135313">
              <w:rPr>
                <w:rFonts w:eastAsia="Calibri"/>
                <w:szCs w:val="22"/>
                <w:lang w:val="en-US"/>
              </w:rPr>
              <w:t xml:space="preserve"> servicing undertaken by a c</w:t>
            </w:r>
            <w:r>
              <w:rPr>
                <w:rFonts w:eastAsia="Calibri"/>
                <w:szCs w:val="22"/>
                <w:lang w:val="en-US"/>
              </w:rPr>
              <w:t>ompetent service agent.</w:t>
            </w:r>
          </w:p>
          <w:p w14:paraId="22CE87EE" w14:textId="495695DF" w:rsidR="00135313" w:rsidRPr="006920CA" w:rsidRDefault="00135313" w:rsidP="00135313">
            <w:pPr>
              <w:pStyle w:val="ListParagraph"/>
              <w:numPr>
                <w:ilvl w:val="0"/>
                <w:numId w:val="48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D</w:t>
            </w:r>
            <w:r w:rsidRPr="00135313">
              <w:rPr>
                <w:rFonts w:eastAsia="Calibri"/>
                <w:szCs w:val="22"/>
                <w:lang w:val="en-US"/>
              </w:rPr>
              <w:t>amaged heaters should be taken out of service immediately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F668273" w14:textId="77777777" w:rsidR="00DE2EF0" w:rsidRPr="00DE2EF0" w:rsidRDefault="00DE2EF0" w:rsidP="00DE2EF0">
            <w:pPr>
              <w:rPr>
                <w:rFonts w:eastAsia="Calibri"/>
                <w:szCs w:val="22"/>
                <w:lang w:val="en-US"/>
              </w:rPr>
            </w:pPr>
            <w:r w:rsidRPr="00DE2EF0">
              <w:rPr>
                <w:rFonts w:eastAsia="Calibri"/>
                <w:szCs w:val="22"/>
                <w:lang w:val="en-US"/>
              </w:rPr>
              <w:t>Always use a portable fire in accordance with the manufacturer’s instructions.</w:t>
            </w:r>
          </w:p>
          <w:p w14:paraId="22CE87F3" w14:textId="1AA77622" w:rsidR="006E1CD2" w:rsidRPr="007E3E10" w:rsidRDefault="00DE2EF0" w:rsidP="00DE2EF0">
            <w:pPr>
              <w:rPr>
                <w:rFonts w:eastAsia="Calibri"/>
                <w:szCs w:val="22"/>
                <w:lang w:val="en-US"/>
              </w:rPr>
            </w:pPr>
            <w:r w:rsidRPr="00DE2EF0">
              <w:rPr>
                <w:rFonts w:eastAsia="Calibri"/>
                <w:szCs w:val="22"/>
                <w:lang w:val="en-US"/>
              </w:rPr>
              <w:t>Whatever the type of heater: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13" w14:textId="77777777" w:rsidTr="007F47DE">
        <w:tc>
          <w:tcPr>
            <w:tcW w:w="3175" w:type="dxa"/>
            <w:shd w:val="clear" w:color="auto" w:fill="auto"/>
          </w:tcPr>
          <w:p w14:paraId="6509BA6C" w14:textId="77777777" w:rsidR="006920CA" w:rsidRPr="006920CA" w:rsidRDefault="006920CA" w:rsidP="006920CA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6920CA">
              <w:rPr>
                <w:snapToGrid w:val="0"/>
                <w:color w:val="000000"/>
                <w:lang w:eastAsia="en-US"/>
              </w:rPr>
              <w:t>Siting and</w:t>
            </w:r>
          </w:p>
          <w:p w14:paraId="22CE880A" w14:textId="4141BEBD" w:rsidR="009B5547" w:rsidRPr="00C9082D" w:rsidRDefault="006920CA" w:rsidP="006920CA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6920CA">
              <w:rPr>
                <w:snapToGrid w:val="0"/>
                <w:color w:val="000000"/>
                <w:lang w:eastAsia="en-US"/>
              </w:rPr>
              <w:t>separation</w:t>
            </w:r>
          </w:p>
        </w:tc>
        <w:tc>
          <w:tcPr>
            <w:tcW w:w="1469" w:type="dxa"/>
            <w:shd w:val="clear" w:color="auto" w:fill="auto"/>
          </w:tcPr>
          <w:p w14:paraId="22CE880B" w14:textId="5F21D840" w:rsidR="009B5547" w:rsidRPr="007E3E10" w:rsidRDefault="009B5547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2B1233C7" w14:textId="77777777" w:rsidR="006920CA" w:rsidRPr="006920CA" w:rsidRDefault="006920CA" w:rsidP="006920CA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 w:rsidRPr="006920CA">
              <w:rPr>
                <w:rFonts w:eastAsia="Calibri"/>
                <w:szCs w:val="22"/>
                <w:lang w:val="en-US"/>
              </w:rPr>
              <w:t>Portable heaters should be sited according to the manufacturer’s instructions. They should be stood</w:t>
            </w:r>
          </w:p>
          <w:p w14:paraId="74591B4D" w14:textId="77777777" w:rsidR="006920CA" w:rsidRPr="006920CA" w:rsidRDefault="006920CA" w:rsidP="006920CA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 w:rsidRPr="006920CA">
              <w:rPr>
                <w:rFonts w:eastAsia="Calibri"/>
                <w:szCs w:val="22"/>
                <w:lang w:val="en-US"/>
              </w:rPr>
              <w:lastRenderedPageBreak/>
              <w:t>on a level, dry, non-combustible surface where they are not liable to be subjected to mechanical</w:t>
            </w:r>
          </w:p>
          <w:p w14:paraId="19795A27" w14:textId="09B7458F" w:rsidR="006920CA" w:rsidRPr="006920CA" w:rsidRDefault="00135313" w:rsidP="006920CA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Damage</w:t>
            </w:r>
            <w:r w:rsidR="006920CA">
              <w:rPr>
                <w:rFonts w:eastAsia="Calibri"/>
                <w:szCs w:val="22"/>
                <w:lang w:val="en-US"/>
              </w:rPr>
              <w:t xml:space="preserve"> or be overturned. </w:t>
            </w:r>
          </w:p>
          <w:p w14:paraId="70182AC8" w14:textId="08533A8A" w:rsidR="006920CA" w:rsidRPr="006920CA" w:rsidRDefault="006920CA" w:rsidP="006920CA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 w:rsidRPr="006920CA">
              <w:rPr>
                <w:rFonts w:eastAsia="Calibri"/>
                <w:szCs w:val="22"/>
                <w:lang w:val="en-US"/>
              </w:rPr>
              <w:t>They should not be sited on escape routes or in confined spaces, cupboards, ducts or passageways.</w:t>
            </w:r>
          </w:p>
          <w:p w14:paraId="2E9D11C3" w14:textId="77777777" w:rsidR="009B5547" w:rsidRDefault="006920CA" w:rsidP="006920CA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 w:rsidRPr="006920CA">
              <w:rPr>
                <w:rFonts w:eastAsia="Calibri"/>
                <w:szCs w:val="22"/>
                <w:lang w:val="en-US"/>
              </w:rPr>
              <w:t>Portable heaters should be sited in areas clear of combustible goods or other readily ignitable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6920CA">
              <w:rPr>
                <w:rFonts w:eastAsia="Calibri"/>
                <w:szCs w:val="22"/>
                <w:lang w:val="en-US"/>
              </w:rPr>
              <w:t>materials. A guard should be provided or the floor area around the hater hatched prominently to</w:t>
            </w:r>
            <w:r w:rsidRPr="006920CA">
              <w:rPr>
                <w:rFonts w:eastAsia="Calibri"/>
                <w:szCs w:val="22"/>
                <w:lang w:val="en-US"/>
              </w:rPr>
              <w:t xml:space="preserve"> </w:t>
            </w:r>
            <w:r w:rsidRPr="006920CA">
              <w:rPr>
                <w:rFonts w:eastAsia="Calibri"/>
                <w:szCs w:val="22"/>
                <w:lang w:val="en-US"/>
              </w:rPr>
              <w:t xml:space="preserve">maintain a clear space of at least 1m on all sides between a </w:t>
            </w:r>
            <w:r w:rsidRPr="006920CA">
              <w:rPr>
                <w:rFonts w:eastAsia="Calibri"/>
                <w:szCs w:val="22"/>
                <w:lang w:val="en-US"/>
              </w:rPr>
              <w:t xml:space="preserve">heater and </w:t>
            </w:r>
            <w:r w:rsidRPr="006920CA">
              <w:rPr>
                <w:rFonts w:eastAsia="Calibri"/>
                <w:szCs w:val="22"/>
                <w:lang w:val="en-US"/>
              </w:rPr>
              <w:t>combustible goods or</w:t>
            </w:r>
            <w:r w:rsidRPr="006920CA">
              <w:rPr>
                <w:rFonts w:eastAsia="Calibri"/>
                <w:szCs w:val="22"/>
                <w:lang w:val="en-US"/>
              </w:rPr>
              <w:t xml:space="preserve"> </w:t>
            </w:r>
            <w:r w:rsidRPr="006920CA">
              <w:rPr>
                <w:rFonts w:eastAsia="Calibri"/>
                <w:szCs w:val="22"/>
                <w:lang w:val="en-US"/>
              </w:rPr>
              <w:t>combustible elements of the construction</w:t>
            </w:r>
          </w:p>
          <w:p w14:paraId="0D26CFED" w14:textId="77777777" w:rsidR="00135313" w:rsidRPr="00135313" w:rsidRDefault="00135313" w:rsidP="00135313">
            <w:pPr>
              <w:pStyle w:val="ListParagraph"/>
              <w:numPr>
                <w:ilvl w:val="0"/>
                <w:numId w:val="49"/>
              </w:numPr>
              <w:rPr>
                <w:rFonts w:eastAsia="Calibri"/>
                <w:szCs w:val="22"/>
                <w:lang w:val="en-US"/>
              </w:rPr>
            </w:pPr>
            <w:r w:rsidRPr="00135313">
              <w:rPr>
                <w:rFonts w:eastAsia="Calibri"/>
                <w:szCs w:val="22"/>
                <w:lang w:val="en-US"/>
              </w:rPr>
              <w:t>In certain circumstances (such as marquees and workshops) the heater may be sited externally, and</w:t>
            </w:r>
          </w:p>
          <w:p w14:paraId="22CE880C" w14:textId="3F48756B" w:rsidR="00135313" w:rsidRPr="00135313" w:rsidRDefault="00135313" w:rsidP="00135313">
            <w:pPr>
              <w:pStyle w:val="ListParagraph"/>
              <w:ind w:left="360"/>
              <w:rPr>
                <w:rFonts w:eastAsia="Calibri"/>
                <w:szCs w:val="22"/>
                <w:lang w:val="en-US"/>
              </w:rPr>
            </w:pPr>
            <w:proofErr w:type="gramStart"/>
            <w:r w:rsidRPr="00135313">
              <w:rPr>
                <w:rFonts w:eastAsia="Calibri"/>
                <w:szCs w:val="22"/>
                <w:lang w:val="en-US"/>
              </w:rPr>
              <w:t>warm</w:t>
            </w:r>
            <w:proofErr w:type="gramEnd"/>
            <w:r w:rsidRPr="00135313">
              <w:rPr>
                <w:rFonts w:eastAsia="Calibri"/>
                <w:szCs w:val="22"/>
                <w:lang w:val="en-US"/>
              </w:rPr>
              <w:t xml:space="preserve"> air piped or ducted into the premises by means of flame retardant hosing. It should be ensured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135313">
              <w:rPr>
                <w:rFonts w:eastAsia="Calibri"/>
                <w:szCs w:val="22"/>
                <w:lang w:val="en-US"/>
              </w:rPr>
              <w:t>however, that exhaust fumes cannot enter the structure and are safely dispersed</w:t>
            </w:r>
          </w:p>
        </w:tc>
        <w:tc>
          <w:tcPr>
            <w:tcW w:w="709" w:type="dxa"/>
            <w:shd w:val="clear" w:color="auto" w:fill="auto"/>
          </w:tcPr>
          <w:p w14:paraId="22CE880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80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80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22CE881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11" w14:textId="00745B63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81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5705B" w:rsidRPr="007E3E10" w14:paraId="2CE607CD" w14:textId="77777777" w:rsidTr="007F47DE">
        <w:tc>
          <w:tcPr>
            <w:tcW w:w="3175" w:type="dxa"/>
            <w:shd w:val="clear" w:color="auto" w:fill="auto"/>
          </w:tcPr>
          <w:p w14:paraId="68387606" w14:textId="19811162" w:rsidR="0015705B" w:rsidRPr="006920CA" w:rsidRDefault="0015705B" w:rsidP="006920CA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lastRenderedPageBreak/>
              <w:t>Using incorrect Portable Heater for the environment</w:t>
            </w:r>
          </w:p>
        </w:tc>
        <w:tc>
          <w:tcPr>
            <w:tcW w:w="1469" w:type="dxa"/>
            <w:shd w:val="clear" w:color="auto" w:fill="auto"/>
          </w:tcPr>
          <w:p w14:paraId="5914B89E" w14:textId="77777777" w:rsidR="0015705B" w:rsidRPr="007E3E10" w:rsidRDefault="0015705B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7DBDD07" w14:textId="7067BAF7" w:rsidR="0015705B" w:rsidRPr="0015705B" w:rsidRDefault="0015705B" w:rsidP="0015705B">
            <w:pPr>
              <w:rPr>
                <w:rFonts w:eastAsia="Calibri"/>
                <w:szCs w:val="22"/>
                <w:lang w:val="en-US"/>
              </w:rPr>
            </w:pPr>
            <w:r w:rsidRPr="0015705B">
              <w:rPr>
                <w:rFonts w:eastAsia="Calibri"/>
                <w:szCs w:val="22"/>
                <w:lang w:val="en-US"/>
              </w:rPr>
              <w:t xml:space="preserve">Portable heaters may be </w:t>
            </w:r>
            <w:r w:rsidR="00135313" w:rsidRPr="0015705B">
              <w:rPr>
                <w:rFonts w:eastAsia="Calibri"/>
                <w:szCs w:val="22"/>
                <w:lang w:val="en-US"/>
              </w:rPr>
              <w:t>fueled</w:t>
            </w:r>
            <w:r w:rsidRPr="0015705B">
              <w:rPr>
                <w:rFonts w:eastAsia="Calibri"/>
                <w:szCs w:val="22"/>
                <w:lang w:val="en-US"/>
              </w:rPr>
              <w:t xml:space="preserve"> in a number of ways, LPG, </w:t>
            </w:r>
            <w:r w:rsidRPr="0015705B">
              <w:rPr>
                <w:rFonts w:eastAsia="Calibri"/>
                <w:szCs w:val="22"/>
                <w:lang w:val="en-US"/>
              </w:rPr>
              <w:lastRenderedPageBreak/>
              <w:t>electricity and liquid fuels for example.</w:t>
            </w:r>
            <w:r>
              <w:rPr>
                <w:rFonts w:eastAsia="Calibri"/>
                <w:szCs w:val="22"/>
                <w:lang w:val="en-US"/>
              </w:rPr>
              <w:t xml:space="preserve"> </w:t>
            </w:r>
            <w:r w:rsidRPr="0015705B">
              <w:rPr>
                <w:rFonts w:eastAsia="Calibri"/>
                <w:szCs w:val="22"/>
                <w:lang w:val="en-US"/>
              </w:rPr>
              <w:t>It is essential that where their use cannot be avoided, the type of heater is compatible with the</w:t>
            </w:r>
          </w:p>
          <w:p w14:paraId="0AFB6995" w14:textId="577F448D" w:rsidR="0015705B" w:rsidRPr="0015705B" w:rsidRDefault="00135313" w:rsidP="0015705B">
            <w:pPr>
              <w:rPr>
                <w:rFonts w:eastAsia="Calibri"/>
                <w:szCs w:val="22"/>
                <w:lang w:val="en-US"/>
              </w:rPr>
            </w:pPr>
            <w:r w:rsidRPr="0015705B">
              <w:rPr>
                <w:rFonts w:eastAsia="Calibri"/>
                <w:szCs w:val="22"/>
                <w:lang w:val="en-US"/>
              </w:rPr>
              <w:t>Environment</w:t>
            </w:r>
            <w:r w:rsidR="0015705B" w:rsidRPr="0015705B">
              <w:rPr>
                <w:rFonts w:eastAsia="Calibri"/>
                <w:szCs w:val="22"/>
                <w:lang w:val="en-US"/>
              </w:rPr>
              <w:t xml:space="preserve">. For example, LPG </w:t>
            </w:r>
            <w:r w:rsidRPr="0015705B">
              <w:rPr>
                <w:rFonts w:eastAsia="Calibri"/>
                <w:szCs w:val="22"/>
                <w:lang w:val="en-US"/>
              </w:rPr>
              <w:t>fueled</w:t>
            </w:r>
            <w:r w:rsidR="0015705B" w:rsidRPr="0015705B">
              <w:rPr>
                <w:rFonts w:eastAsia="Calibri"/>
                <w:szCs w:val="22"/>
                <w:lang w:val="en-US"/>
              </w:rPr>
              <w:t xml:space="preserve"> heaters should not be used in basements or in other low</w:t>
            </w:r>
            <w:r w:rsidR="0015705B">
              <w:rPr>
                <w:rFonts w:eastAsia="Calibri"/>
                <w:szCs w:val="22"/>
                <w:lang w:val="en-US"/>
              </w:rPr>
              <w:t xml:space="preserve"> </w:t>
            </w:r>
            <w:r w:rsidR="0015705B" w:rsidRPr="0015705B">
              <w:rPr>
                <w:rFonts w:eastAsia="Calibri"/>
                <w:szCs w:val="22"/>
                <w:lang w:val="en-US"/>
              </w:rPr>
              <w:t>lying</w:t>
            </w:r>
            <w:r w:rsidR="0015705B">
              <w:rPr>
                <w:rFonts w:eastAsia="Calibri"/>
                <w:szCs w:val="22"/>
                <w:lang w:val="en-US"/>
              </w:rPr>
              <w:t xml:space="preserve"> </w:t>
            </w:r>
            <w:r w:rsidR="0015705B" w:rsidRPr="0015705B">
              <w:rPr>
                <w:rFonts w:eastAsia="Calibri"/>
                <w:szCs w:val="22"/>
                <w:lang w:val="en-US"/>
              </w:rPr>
              <w:t>locations where leaking</w:t>
            </w:r>
            <w:r w:rsidR="0015705B">
              <w:rPr>
                <w:rFonts w:eastAsia="Calibri"/>
                <w:szCs w:val="22"/>
                <w:lang w:val="en-US"/>
              </w:rPr>
              <w:t xml:space="preserve"> </w:t>
            </w:r>
            <w:r>
              <w:rPr>
                <w:rFonts w:eastAsia="Calibri"/>
                <w:szCs w:val="22"/>
                <w:lang w:val="en-US"/>
              </w:rPr>
              <w:t>vapor</w:t>
            </w:r>
            <w:r w:rsidR="0015705B">
              <w:rPr>
                <w:rFonts w:eastAsia="Calibri"/>
                <w:szCs w:val="22"/>
                <w:lang w:val="en-US"/>
              </w:rPr>
              <w:t xml:space="preserve"> may accumulate </w:t>
            </w:r>
            <w:r w:rsidR="0015705B" w:rsidRPr="0015705B">
              <w:rPr>
                <w:rFonts w:eastAsia="Calibri"/>
                <w:szCs w:val="22"/>
                <w:lang w:val="en-US"/>
              </w:rPr>
              <w:t xml:space="preserve">Liquid </w:t>
            </w:r>
            <w:r w:rsidRPr="0015705B">
              <w:rPr>
                <w:rFonts w:eastAsia="Calibri"/>
                <w:szCs w:val="22"/>
                <w:lang w:val="en-US"/>
              </w:rPr>
              <w:t>fueled</w:t>
            </w:r>
            <w:r w:rsidR="0015705B" w:rsidRPr="0015705B">
              <w:rPr>
                <w:rFonts w:eastAsia="Calibri"/>
                <w:szCs w:val="22"/>
                <w:lang w:val="en-US"/>
              </w:rPr>
              <w:t xml:space="preserve"> heaters, such as paraffin</w:t>
            </w:r>
            <w:r w:rsidR="0015705B">
              <w:rPr>
                <w:rFonts w:eastAsia="Calibri"/>
                <w:szCs w:val="22"/>
                <w:lang w:val="en-US"/>
              </w:rPr>
              <w:t xml:space="preserve"> </w:t>
            </w:r>
            <w:r w:rsidR="0015705B" w:rsidRPr="0015705B">
              <w:rPr>
                <w:rFonts w:eastAsia="Calibri"/>
                <w:szCs w:val="22"/>
                <w:lang w:val="en-US"/>
              </w:rPr>
              <w:t>heaters should not be used other than in agricultural and</w:t>
            </w:r>
            <w:r w:rsidR="0015705B">
              <w:rPr>
                <w:rFonts w:eastAsia="Calibri"/>
                <w:szCs w:val="22"/>
                <w:lang w:val="en-US"/>
              </w:rPr>
              <w:t xml:space="preserve"> horticultural premises </w:t>
            </w:r>
            <w:r w:rsidR="0015705B" w:rsidRPr="0015705B">
              <w:rPr>
                <w:rFonts w:eastAsia="Calibri"/>
                <w:szCs w:val="22"/>
                <w:lang w:val="en-US"/>
              </w:rPr>
              <w:t>and electric</w:t>
            </w:r>
            <w:r w:rsidR="0015705B">
              <w:rPr>
                <w:rFonts w:eastAsia="Calibri"/>
                <w:szCs w:val="22"/>
                <w:lang w:val="en-US"/>
              </w:rPr>
              <w:t xml:space="preserve"> </w:t>
            </w:r>
            <w:r w:rsidR="0015705B" w:rsidRPr="0015705B">
              <w:rPr>
                <w:rFonts w:eastAsia="Calibri"/>
                <w:szCs w:val="22"/>
                <w:lang w:val="en-US"/>
              </w:rPr>
              <w:t>heaters with exposed heating elements should not be provided. Convection heaters or oil filled</w:t>
            </w:r>
            <w:r w:rsidR="0015705B">
              <w:rPr>
                <w:rFonts w:eastAsia="Calibri"/>
                <w:szCs w:val="22"/>
                <w:lang w:val="en-US"/>
              </w:rPr>
              <w:t xml:space="preserve"> </w:t>
            </w:r>
            <w:r w:rsidR="0015705B" w:rsidRPr="0015705B">
              <w:rPr>
                <w:rFonts w:eastAsia="Calibri"/>
                <w:szCs w:val="22"/>
                <w:lang w:val="en-US"/>
              </w:rPr>
              <w:t>radiators should be used in preference to appliances with radiant elements</w:t>
            </w:r>
          </w:p>
        </w:tc>
        <w:tc>
          <w:tcPr>
            <w:tcW w:w="709" w:type="dxa"/>
            <w:shd w:val="clear" w:color="auto" w:fill="auto"/>
          </w:tcPr>
          <w:p w14:paraId="6A0E26FC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BFA71AE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1E7FBC7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0BB2B36C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199FD90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BA17A84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15705B" w:rsidRPr="007E3E10" w14:paraId="70F885F2" w14:textId="77777777" w:rsidTr="007F47DE">
        <w:tc>
          <w:tcPr>
            <w:tcW w:w="3175" w:type="dxa"/>
            <w:shd w:val="clear" w:color="auto" w:fill="auto"/>
          </w:tcPr>
          <w:p w14:paraId="0ED1ACE3" w14:textId="09378EE7" w:rsidR="0015705B" w:rsidRDefault="0015705B" w:rsidP="006920CA">
            <w:pPr>
              <w:widowControl w:val="0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lastRenderedPageBreak/>
              <w:t>Slips and Trips</w:t>
            </w:r>
          </w:p>
        </w:tc>
        <w:tc>
          <w:tcPr>
            <w:tcW w:w="1469" w:type="dxa"/>
            <w:shd w:val="clear" w:color="auto" w:fill="auto"/>
          </w:tcPr>
          <w:p w14:paraId="1CE22D6D" w14:textId="77777777" w:rsidR="0015705B" w:rsidRPr="007E3E10" w:rsidRDefault="0015705B" w:rsidP="006E1CD2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0CAF681B" w14:textId="77777777" w:rsidR="0015705B" w:rsidRPr="0015705B" w:rsidRDefault="0015705B" w:rsidP="0015705B">
            <w:pPr>
              <w:pStyle w:val="ListParagraph"/>
              <w:numPr>
                <w:ilvl w:val="0"/>
                <w:numId w:val="50"/>
              </w:numPr>
              <w:rPr>
                <w:rFonts w:eastAsia="Calibri"/>
                <w:szCs w:val="22"/>
                <w:lang w:val="en-US"/>
              </w:rPr>
            </w:pPr>
            <w:r w:rsidRPr="0015705B">
              <w:rPr>
                <w:rFonts w:eastAsia="Calibri"/>
                <w:szCs w:val="22"/>
                <w:lang w:val="en-US"/>
              </w:rPr>
              <w:t>Avoid use of extension leads</w:t>
            </w:r>
          </w:p>
          <w:p w14:paraId="2BF5617A" w14:textId="6A683A6C" w:rsidR="0015705B" w:rsidRPr="0015705B" w:rsidRDefault="0015705B" w:rsidP="0015705B">
            <w:pPr>
              <w:pStyle w:val="ListParagraph"/>
              <w:numPr>
                <w:ilvl w:val="0"/>
                <w:numId w:val="50"/>
              </w:numPr>
              <w:rPr>
                <w:rFonts w:eastAsia="Calibri"/>
                <w:szCs w:val="22"/>
                <w:lang w:val="en-US"/>
              </w:rPr>
            </w:pPr>
            <w:r w:rsidRPr="0015705B">
              <w:rPr>
                <w:rFonts w:eastAsia="Calibri"/>
                <w:szCs w:val="22"/>
                <w:lang w:val="en-US"/>
              </w:rPr>
              <w:t>Use of cable covers where cables are a trip hazard</w:t>
            </w:r>
          </w:p>
        </w:tc>
        <w:tc>
          <w:tcPr>
            <w:tcW w:w="709" w:type="dxa"/>
            <w:shd w:val="clear" w:color="auto" w:fill="auto"/>
          </w:tcPr>
          <w:p w14:paraId="7FA9459B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BE045AB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5DD7C6E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shd w:val="clear" w:color="auto" w:fill="auto"/>
          </w:tcPr>
          <w:p w14:paraId="1CFB2A21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A8C073B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FE5B12" w14:textId="77777777" w:rsidR="0015705B" w:rsidRPr="007E3E10" w:rsidRDefault="0015705B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B54C3" w:rsidRPr="007E3E10" w14:paraId="451A25E8" w14:textId="77777777" w:rsidTr="002C28B1">
        <w:tc>
          <w:tcPr>
            <w:tcW w:w="317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1306F1" w14:textId="38529CAD" w:rsidR="00CB54C3" w:rsidRPr="00320F01" w:rsidRDefault="00CB54C3" w:rsidP="00320F01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146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FFE241D" w14:textId="2B49ADBC" w:rsidR="00CB54C3" w:rsidRPr="00CB54C3" w:rsidRDefault="00CB54C3" w:rsidP="00CB54C3">
            <w:pPr>
              <w:rPr>
                <w:rFonts w:eastAsia="Calibri" w:cs="Arial"/>
                <w:color w:val="302E2D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BC6134" w14:textId="68419DE1" w:rsidR="00CB54C3" w:rsidRPr="00CB54C3" w:rsidRDefault="00CB54C3" w:rsidP="001669F8">
            <w:pPr>
              <w:pStyle w:val="Style"/>
              <w:ind w:left="12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E9B45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CB7A2FA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F42DF6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93E161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3A03C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79AEE1D2" w14:textId="77777777" w:rsidR="00CB54C3" w:rsidRPr="007E3E10" w:rsidRDefault="00CB54C3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6EBA335E" w:rsidR="00764E00" w:rsidRDefault="00764E00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4"/>
      <w:footerReference w:type="default" r:id="rId15"/>
      <w:headerReference w:type="first" r:id="rId16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3D8C2" w14:textId="77777777" w:rsidR="0019133C" w:rsidRDefault="0019133C">
      <w:r>
        <w:separator/>
      </w:r>
    </w:p>
  </w:endnote>
  <w:endnote w:type="continuationSeparator" w:id="0">
    <w:p w14:paraId="4F40219D" w14:textId="77777777" w:rsidR="0019133C" w:rsidRDefault="0019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F7A7246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76907" w14:textId="77777777" w:rsidR="0019133C" w:rsidRDefault="0019133C">
      <w:r>
        <w:separator/>
      </w:r>
    </w:p>
  </w:footnote>
  <w:footnote w:type="continuationSeparator" w:id="0">
    <w:p w14:paraId="6BBF70A4" w14:textId="77777777" w:rsidR="0019133C" w:rsidRDefault="0019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135313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66"/>
    <w:multiLevelType w:val="hybridMultilevel"/>
    <w:tmpl w:val="C2C22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59382F"/>
    <w:multiLevelType w:val="hybridMultilevel"/>
    <w:tmpl w:val="34400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7D0798C"/>
    <w:multiLevelType w:val="hybridMultilevel"/>
    <w:tmpl w:val="7452D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5175DA"/>
    <w:multiLevelType w:val="hybridMultilevel"/>
    <w:tmpl w:val="F1669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A822A52"/>
    <w:multiLevelType w:val="hybridMultilevel"/>
    <w:tmpl w:val="461E4F64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4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5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6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44F79B1"/>
    <w:multiLevelType w:val="hybridMultilevel"/>
    <w:tmpl w:val="6E0C4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C65F61"/>
    <w:multiLevelType w:val="hybridMultilevel"/>
    <w:tmpl w:val="93BAB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B950CBE"/>
    <w:multiLevelType w:val="hybridMultilevel"/>
    <w:tmpl w:val="ECAE7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A196019"/>
    <w:multiLevelType w:val="hybridMultilevel"/>
    <w:tmpl w:val="F7E80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30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5502DE3"/>
    <w:multiLevelType w:val="hybridMultilevel"/>
    <w:tmpl w:val="42588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C0E4813"/>
    <w:multiLevelType w:val="hybridMultilevel"/>
    <w:tmpl w:val="7550F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885292"/>
    <w:multiLevelType w:val="hybridMultilevel"/>
    <w:tmpl w:val="07442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78617E"/>
    <w:multiLevelType w:val="hybridMultilevel"/>
    <w:tmpl w:val="D5220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537CDD"/>
    <w:multiLevelType w:val="hybridMultilevel"/>
    <w:tmpl w:val="08226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8AE18D2"/>
    <w:multiLevelType w:val="hybridMultilevel"/>
    <w:tmpl w:val="ACF4B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683483E"/>
    <w:multiLevelType w:val="hybridMultilevel"/>
    <w:tmpl w:val="709ED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0"/>
  </w:num>
  <w:num w:numId="3">
    <w:abstractNumId w:val="10"/>
  </w:num>
  <w:num w:numId="4">
    <w:abstractNumId w:val="33"/>
  </w:num>
  <w:num w:numId="5">
    <w:abstractNumId w:val="43"/>
  </w:num>
  <w:num w:numId="6">
    <w:abstractNumId w:val="46"/>
  </w:num>
  <w:num w:numId="7">
    <w:abstractNumId w:val="42"/>
  </w:num>
  <w:num w:numId="8">
    <w:abstractNumId w:val="12"/>
  </w:num>
  <w:num w:numId="9">
    <w:abstractNumId w:val="9"/>
  </w:num>
  <w:num w:numId="10">
    <w:abstractNumId w:val="47"/>
  </w:num>
  <w:num w:numId="11">
    <w:abstractNumId w:val="26"/>
  </w:num>
  <w:num w:numId="12">
    <w:abstractNumId w:val="24"/>
  </w:num>
  <w:num w:numId="13">
    <w:abstractNumId w:val="45"/>
  </w:num>
  <w:num w:numId="14">
    <w:abstractNumId w:val="6"/>
  </w:num>
  <w:num w:numId="15">
    <w:abstractNumId w:val="38"/>
  </w:num>
  <w:num w:numId="16">
    <w:abstractNumId w:val="37"/>
  </w:num>
  <w:num w:numId="17">
    <w:abstractNumId w:val="32"/>
  </w:num>
  <w:num w:numId="18">
    <w:abstractNumId w:val="4"/>
  </w:num>
  <w:num w:numId="19">
    <w:abstractNumId w:val="49"/>
  </w:num>
  <w:num w:numId="20">
    <w:abstractNumId w:val="25"/>
  </w:num>
  <w:num w:numId="21">
    <w:abstractNumId w:val="3"/>
  </w:num>
  <w:num w:numId="22">
    <w:abstractNumId w:val="16"/>
  </w:num>
  <w:num w:numId="23">
    <w:abstractNumId w:val="8"/>
  </w:num>
  <w:num w:numId="24">
    <w:abstractNumId w:val="2"/>
  </w:num>
  <w:num w:numId="25">
    <w:abstractNumId w:val="18"/>
  </w:num>
  <w:num w:numId="26">
    <w:abstractNumId w:val="17"/>
  </w:num>
  <w:num w:numId="27">
    <w:abstractNumId w:val="39"/>
  </w:num>
  <w:num w:numId="28">
    <w:abstractNumId w:val="44"/>
  </w:num>
  <w:num w:numId="29">
    <w:abstractNumId w:val="28"/>
  </w:num>
  <w:num w:numId="30">
    <w:abstractNumId w:val="22"/>
  </w:num>
  <w:num w:numId="31">
    <w:abstractNumId w:val="19"/>
  </w:num>
  <w:num w:numId="32">
    <w:abstractNumId w:val="14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9"/>
  </w:num>
  <w:num w:numId="35">
    <w:abstractNumId w:val="34"/>
  </w:num>
  <w:num w:numId="36">
    <w:abstractNumId w:val="0"/>
  </w:num>
  <w:num w:numId="37">
    <w:abstractNumId w:val="20"/>
  </w:num>
  <w:num w:numId="38">
    <w:abstractNumId w:val="13"/>
  </w:num>
  <w:num w:numId="39">
    <w:abstractNumId w:val="31"/>
  </w:num>
  <w:num w:numId="40">
    <w:abstractNumId w:val="40"/>
  </w:num>
  <w:num w:numId="41">
    <w:abstractNumId w:val="21"/>
  </w:num>
  <w:num w:numId="42">
    <w:abstractNumId w:val="48"/>
  </w:num>
  <w:num w:numId="43">
    <w:abstractNumId w:val="5"/>
  </w:num>
  <w:num w:numId="44">
    <w:abstractNumId w:val="35"/>
  </w:num>
  <w:num w:numId="45">
    <w:abstractNumId w:val="11"/>
  </w:num>
  <w:num w:numId="46">
    <w:abstractNumId w:val="36"/>
  </w:num>
  <w:num w:numId="47">
    <w:abstractNumId w:val="27"/>
  </w:num>
  <w:num w:numId="48">
    <w:abstractNumId w:val="7"/>
  </w:num>
  <w:num w:numId="49">
    <w:abstractNumId w:val="4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51057"/>
    <w:rsid w:val="000A318E"/>
    <w:rsid w:val="000A73C9"/>
    <w:rsid w:val="000F3B4F"/>
    <w:rsid w:val="00101D55"/>
    <w:rsid w:val="00120D9F"/>
    <w:rsid w:val="00135313"/>
    <w:rsid w:val="0015705B"/>
    <w:rsid w:val="00157F1A"/>
    <w:rsid w:val="001669F8"/>
    <w:rsid w:val="0019133C"/>
    <w:rsid w:val="00194829"/>
    <w:rsid w:val="001A309A"/>
    <w:rsid w:val="001A68C6"/>
    <w:rsid w:val="001F6A5C"/>
    <w:rsid w:val="002062B0"/>
    <w:rsid w:val="00265136"/>
    <w:rsid w:val="00287B85"/>
    <w:rsid w:val="002C28B1"/>
    <w:rsid w:val="002D05F4"/>
    <w:rsid w:val="00320F01"/>
    <w:rsid w:val="003E0F5D"/>
    <w:rsid w:val="003E1694"/>
    <w:rsid w:val="00403CB1"/>
    <w:rsid w:val="00407A8F"/>
    <w:rsid w:val="00442FE0"/>
    <w:rsid w:val="004A073D"/>
    <w:rsid w:val="004E7A04"/>
    <w:rsid w:val="0050014E"/>
    <w:rsid w:val="00527F8C"/>
    <w:rsid w:val="006214BC"/>
    <w:rsid w:val="00691962"/>
    <w:rsid w:val="006920CA"/>
    <w:rsid w:val="006D6512"/>
    <w:rsid w:val="006E1CD2"/>
    <w:rsid w:val="006E5A60"/>
    <w:rsid w:val="006F1C6A"/>
    <w:rsid w:val="00707C7F"/>
    <w:rsid w:val="007123FC"/>
    <w:rsid w:val="00734792"/>
    <w:rsid w:val="00764E00"/>
    <w:rsid w:val="00771789"/>
    <w:rsid w:val="00795C36"/>
    <w:rsid w:val="007E6CEA"/>
    <w:rsid w:val="007F47DE"/>
    <w:rsid w:val="00817AF1"/>
    <w:rsid w:val="00844EF8"/>
    <w:rsid w:val="00891EEB"/>
    <w:rsid w:val="008C2224"/>
    <w:rsid w:val="00916F56"/>
    <w:rsid w:val="009325CB"/>
    <w:rsid w:val="00941D4B"/>
    <w:rsid w:val="009724B5"/>
    <w:rsid w:val="009A686C"/>
    <w:rsid w:val="009B5547"/>
    <w:rsid w:val="00A12F64"/>
    <w:rsid w:val="00A97ACD"/>
    <w:rsid w:val="00B23331"/>
    <w:rsid w:val="00B32C0C"/>
    <w:rsid w:val="00B771C5"/>
    <w:rsid w:val="00BE2F88"/>
    <w:rsid w:val="00BF1BF6"/>
    <w:rsid w:val="00C17923"/>
    <w:rsid w:val="00C9082D"/>
    <w:rsid w:val="00CB1585"/>
    <w:rsid w:val="00CB54C3"/>
    <w:rsid w:val="00D111C6"/>
    <w:rsid w:val="00D31B61"/>
    <w:rsid w:val="00D55796"/>
    <w:rsid w:val="00D907E1"/>
    <w:rsid w:val="00DA573E"/>
    <w:rsid w:val="00DE2EF0"/>
    <w:rsid w:val="00E04A96"/>
    <w:rsid w:val="00EA02E3"/>
    <w:rsid w:val="00EC1309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E2735A0-D8F3-4986-8CF3-8EEFB622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3513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2</cp:revision>
  <cp:lastPrinted>2018-11-13T14:05:00Z</cp:lastPrinted>
  <dcterms:created xsi:type="dcterms:W3CDTF">2019-05-28T16:32:00Z</dcterms:created>
  <dcterms:modified xsi:type="dcterms:W3CDTF">2019-05-28T16:32:00Z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