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1201" w14:textId="1D48A073" w:rsidR="00383FE0" w:rsidRDefault="00383FE0">
      <w:pPr>
        <w:rPr>
          <w:rFonts w:ascii="Arial" w:hAnsi="Arial" w:cs="Arial"/>
          <w:b/>
          <w:bCs/>
          <w:sz w:val="24"/>
          <w:szCs w:val="24"/>
        </w:rPr>
      </w:pPr>
      <w:r w:rsidRPr="00383FE0">
        <w:rPr>
          <w:rFonts w:ascii="Arial" w:hAnsi="Arial" w:cs="Arial"/>
          <w:b/>
          <w:bCs/>
          <w:sz w:val="24"/>
          <w:szCs w:val="24"/>
        </w:rPr>
        <w:t>Admissions Appeals</w:t>
      </w:r>
    </w:p>
    <w:p w14:paraId="06400B96" w14:textId="77777777" w:rsidR="00383FE0" w:rsidRPr="00383FE0" w:rsidRDefault="00383FE0">
      <w:pPr>
        <w:rPr>
          <w:rFonts w:ascii="Arial" w:hAnsi="Arial" w:cs="Arial"/>
          <w:b/>
          <w:bCs/>
          <w:sz w:val="24"/>
          <w:szCs w:val="24"/>
        </w:rPr>
      </w:pPr>
    </w:p>
    <w:p w14:paraId="6A7FAABE" w14:textId="7E4B4DC3" w:rsidR="00383FE0" w:rsidRDefault="00383FE0" w:rsidP="00383FE0">
      <w:pPr>
        <w:rPr>
          <w:rFonts w:ascii="Arial" w:hAnsi="Arial" w:cs="Arial"/>
          <w:b/>
          <w:bCs/>
          <w:color w:val="000000" w:themeColor="text1"/>
          <w:sz w:val="24"/>
          <w:szCs w:val="24"/>
        </w:rPr>
      </w:pPr>
      <w:r>
        <w:rPr>
          <w:rFonts w:ascii="Arial" w:hAnsi="Arial" w:cs="Arial"/>
          <w:b/>
          <w:bCs/>
          <w:color w:val="000000" w:themeColor="text1"/>
          <w:sz w:val="24"/>
          <w:szCs w:val="24"/>
        </w:rPr>
        <w:t xml:space="preserve">Admission Appeals Code 2022 (2.2) </w:t>
      </w:r>
    </w:p>
    <w:p w14:paraId="509C8E23" w14:textId="3D568C96" w:rsidR="00383FE0" w:rsidRDefault="00383FE0" w:rsidP="00383FE0">
      <w:pPr>
        <w:rPr>
          <w:rFonts w:ascii="Arial" w:hAnsi="Arial" w:cs="Arial"/>
          <w:color w:val="000000" w:themeColor="text1"/>
          <w:sz w:val="24"/>
          <w:szCs w:val="24"/>
        </w:rPr>
      </w:pPr>
      <w:r>
        <w:rPr>
          <w:rFonts w:ascii="Arial" w:hAnsi="Arial" w:cs="Arial"/>
          <w:color w:val="000000" w:themeColor="text1"/>
          <w:sz w:val="24"/>
          <w:szCs w:val="24"/>
        </w:rPr>
        <w:t xml:space="preserve">Admission authorities </w:t>
      </w:r>
      <w:r>
        <w:rPr>
          <w:rFonts w:ascii="Arial" w:hAnsi="Arial" w:cs="Arial"/>
          <w:b/>
          <w:bCs/>
          <w:color w:val="000000" w:themeColor="text1"/>
          <w:sz w:val="24"/>
          <w:szCs w:val="24"/>
        </w:rPr>
        <w:t xml:space="preserve">must </w:t>
      </w:r>
      <w:r>
        <w:rPr>
          <w:rFonts w:ascii="Arial" w:hAnsi="Arial" w:cs="Arial"/>
          <w:color w:val="000000" w:themeColor="text1"/>
          <w:sz w:val="24"/>
          <w:szCs w:val="24"/>
        </w:rPr>
        <w:t xml:space="preserve">publish their appeals timetable on their website by </w:t>
      </w:r>
      <w:r>
        <w:rPr>
          <w:rFonts w:ascii="Arial" w:hAnsi="Arial" w:cs="Arial"/>
          <w:b/>
          <w:bCs/>
          <w:color w:val="000000" w:themeColor="text1"/>
          <w:sz w:val="24"/>
          <w:szCs w:val="24"/>
        </w:rPr>
        <w:t xml:space="preserve">28 February </w:t>
      </w:r>
      <w:r>
        <w:rPr>
          <w:rFonts w:ascii="Arial" w:hAnsi="Arial" w:cs="Arial"/>
          <w:color w:val="000000" w:themeColor="text1"/>
          <w:sz w:val="24"/>
          <w:szCs w:val="24"/>
        </w:rPr>
        <w:t>each year.</w:t>
      </w:r>
    </w:p>
    <w:p w14:paraId="3C5C229F" w14:textId="35A8F638" w:rsidR="00130A0D" w:rsidRDefault="00130A0D" w:rsidP="00383FE0">
      <w:pPr>
        <w:rPr>
          <w:rFonts w:ascii="Arial" w:hAnsi="Arial" w:cs="Arial"/>
          <w:color w:val="000000" w:themeColor="text1"/>
          <w:sz w:val="24"/>
          <w:szCs w:val="24"/>
        </w:rPr>
      </w:pPr>
    </w:p>
    <w:p w14:paraId="2DFA8E9F" w14:textId="615B284D" w:rsidR="00130A0D" w:rsidRDefault="00130A0D" w:rsidP="00383FE0">
      <w:pPr>
        <w:rPr>
          <w:rFonts w:ascii="Arial" w:hAnsi="Arial" w:cs="Arial"/>
          <w:color w:val="000000" w:themeColor="text1"/>
          <w:sz w:val="24"/>
          <w:szCs w:val="24"/>
        </w:rPr>
      </w:pPr>
      <w:r>
        <w:rPr>
          <w:rFonts w:ascii="Arial" w:hAnsi="Arial" w:cs="Arial"/>
          <w:color w:val="000000" w:themeColor="text1"/>
          <w:sz w:val="24"/>
          <w:szCs w:val="24"/>
        </w:rPr>
        <w:t xml:space="preserve">As all schools and Academies in Rotherham presently use the Admissions Appeals service provided by Rotherham Metropolitan Borough Council, who also co-ordinate the convening of Independent Panels and provide a clerking service. The timetable for Admission appeals is outlined below.  </w:t>
      </w:r>
    </w:p>
    <w:p w14:paraId="0631CABB" w14:textId="3F3B25E6" w:rsidR="00383FE0" w:rsidRDefault="00383FE0" w:rsidP="00383FE0">
      <w:pPr>
        <w:rPr>
          <w:rFonts w:ascii="Arial" w:hAnsi="Arial" w:cs="Arial"/>
          <w:color w:val="000000" w:themeColor="text1"/>
          <w:sz w:val="24"/>
          <w:szCs w:val="24"/>
        </w:rPr>
      </w:pPr>
    </w:p>
    <w:p w14:paraId="5B29CAB6" w14:textId="2C52E0C4" w:rsidR="00383FE0" w:rsidRPr="00383FE0" w:rsidRDefault="00383FE0" w:rsidP="00383FE0">
      <w:pPr>
        <w:rPr>
          <w:rFonts w:ascii="Arial" w:hAnsi="Arial" w:cs="Arial"/>
          <w:b/>
          <w:bCs/>
          <w:color w:val="000000" w:themeColor="text1"/>
          <w:sz w:val="24"/>
          <w:szCs w:val="24"/>
        </w:rPr>
      </w:pPr>
      <w:r>
        <w:rPr>
          <w:rFonts w:ascii="Arial" w:hAnsi="Arial" w:cs="Arial"/>
          <w:b/>
          <w:bCs/>
          <w:color w:val="000000" w:themeColor="text1"/>
          <w:sz w:val="24"/>
          <w:szCs w:val="24"/>
        </w:rPr>
        <w:t>Timetable</w:t>
      </w:r>
    </w:p>
    <w:p w14:paraId="2105B47A" w14:textId="77777777" w:rsidR="00383FE0" w:rsidRDefault="00383FE0" w:rsidP="00383FE0">
      <w:pPr>
        <w:rPr>
          <w:rFonts w:ascii="Arial" w:hAnsi="Arial" w:cs="Arial"/>
          <w:color w:val="000000" w:themeColor="text1"/>
          <w:sz w:val="24"/>
          <w:szCs w:val="24"/>
        </w:rPr>
      </w:pPr>
    </w:p>
    <w:tbl>
      <w:tblPr>
        <w:tblStyle w:val="TableGrid"/>
        <w:tblW w:w="0" w:type="auto"/>
        <w:tblInd w:w="0" w:type="dxa"/>
        <w:tblLook w:val="04A0" w:firstRow="1" w:lastRow="0" w:firstColumn="1" w:lastColumn="0" w:noHBand="0" w:noVBand="1"/>
      </w:tblPr>
      <w:tblGrid>
        <w:gridCol w:w="4497"/>
        <w:gridCol w:w="4519"/>
      </w:tblGrid>
      <w:tr w:rsidR="00470B97" w14:paraId="0332C343" w14:textId="77777777" w:rsidTr="00470B97">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49E61" w14:textId="2A737B2F" w:rsidR="00470B97" w:rsidRPr="00470B97" w:rsidRDefault="00794022">
            <w:pPr>
              <w:rPr>
                <w:rFonts w:ascii="Arial" w:hAnsi="Arial" w:cs="Arial"/>
                <w:b/>
                <w:bCs/>
                <w:i/>
                <w:iCs/>
                <w:color w:val="000000" w:themeColor="text1"/>
                <w:sz w:val="24"/>
                <w:szCs w:val="24"/>
              </w:rPr>
            </w:pPr>
            <w:r>
              <w:rPr>
                <w:rFonts w:ascii="Arial" w:hAnsi="Arial" w:cs="Arial"/>
                <w:b/>
                <w:bCs/>
                <w:i/>
                <w:iCs/>
                <w:color w:val="000000" w:themeColor="text1"/>
                <w:sz w:val="24"/>
                <w:szCs w:val="24"/>
              </w:rPr>
              <w:t xml:space="preserve">Statutory </w:t>
            </w:r>
            <w:r w:rsidR="00470B97">
              <w:rPr>
                <w:rFonts w:ascii="Arial" w:hAnsi="Arial" w:cs="Arial"/>
                <w:b/>
                <w:bCs/>
                <w:i/>
                <w:iCs/>
                <w:color w:val="000000" w:themeColor="text1"/>
                <w:sz w:val="24"/>
                <w:szCs w:val="24"/>
              </w:rPr>
              <w:t>Requirement</w:t>
            </w:r>
          </w:p>
        </w:tc>
        <w:tc>
          <w:tcPr>
            <w:tcW w:w="4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CC15B" w14:textId="12EBE5DA" w:rsidR="00470B97" w:rsidRPr="00470B97" w:rsidRDefault="00470B97" w:rsidP="00B806B8">
            <w:pPr>
              <w:pStyle w:val="Default"/>
              <w:numPr>
                <w:ilvl w:val="0"/>
                <w:numId w:val="1"/>
              </w:numPr>
              <w:rPr>
                <w:b/>
                <w:bCs/>
                <w:i/>
                <w:iCs/>
                <w:color w:val="000000" w:themeColor="text1"/>
              </w:rPr>
            </w:pPr>
            <w:r w:rsidRPr="00470B97">
              <w:rPr>
                <w:b/>
                <w:bCs/>
                <w:i/>
                <w:iCs/>
                <w:color w:val="000000" w:themeColor="text1"/>
              </w:rPr>
              <w:t>Timetable</w:t>
            </w:r>
          </w:p>
        </w:tc>
      </w:tr>
      <w:tr w:rsidR="00383FE0" w14:paraId="539568DA" w14:textId="77777777" w:rsidTr="00383FE0">
        <w:tc>
          <w:tcPr>
            <w:tcW w:w="4675" w:type="dxa"/>
            <w:tcBorders>
              <w:top w:val="single" w:sz="4" w:space="0" w:color="auto"/>
              <w:left w:val="single" w:sz="4" w:space="0" w:color="auto"/>
              <w:bottom w:val="single" w:sz="4" w:space="0" w:color="auto"/>
              <w:right w:val="single" w:sz="4" w:space="0" w:color="auto"/>
            </w:tcBorders>
          </w:tcPr>
          <w:p w14:paraId="72E9650A" w14:textId="77777777" w:rsidR="00383FE0" w:rsidRDefault="00383FE0">
            <w:pPr>
              <w:rPr>
                <w:rFonts w:ascii="Arial" w:hAnsi="Arial" w:cs="Arial"/>
                <w:color w:val="000000" w:themeColor="text1"/>
                <w:sz w:val="24"/>
                <w:szCs w:val="24"/>
              </w:rPr>
            </w:pPr>
            <w:r>
              <w:rPr>
                <w:rFonts w:ascii="Arial" w:hAnsi="Arial" w:cs="Arial"/>
                <w:i/>
                <w:iCs/>
                <w:color w:val="000000" w:themeColor="text1"/>
                <w:sz w:val="24"/>
                <w:szCs w:val="24"/>
              </w:rPr>
              <w:t>deadline for lodging appeals</w:t>
            </w:r>
          </w:p>
          <w:p w14:paraId="7ED61DBA" w14:textId="77777777" w:rsidR="00383FE0" w:rsidRDefault="00383FE0">
            <w:pPr>
              <w:rPr>
                <w:rFonts w:ascii="Arial" w:hAnsi="Arial" w:cs="Arial"/>
                <w:color w:val="000000" w:themeColor="text1"/>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773F5464" w14:textId="77777777" w:rsidR="00383FE0" w:rsidRDefault="00383FE0" w:rsidP="00B806B8">
            <w:pPr>
              <w:pStyle w:val="Default"/>
              <w:numPr>
                <w:ilvl w:val="0"/>
                <w:numId w:val="1"/>
              </w:numPr>
              <w:rPr>
                <w:color w:val="000000" w:themeColor="text1"/>
              </w:rPr>
            </w:pPr>
            <w:r>
              <w:rPr>
                <w:i/>
                <w:iCs/>
                <w:color w:val="000000" w:themeColor="text1"/>
              </w:rPr>
              <w:t xml:space="preserve">20 school days from the date of notification that the application was unsuccessful </w:t>
            </w:r>
          </w:p>
        </w:tc>
      </w:tr>
      <w:tr w:rsidR="00383FE0" w14:paraId="70AE6812" w14:textId="77777777" w:rsidTr="00383FE0">
        <w:tc>
          <w:tcPr>
            <w:tcW w:w="4675" w:type="dxa"/>
            <w:tcBorders>
              <w:top w:val="single" w:sz="4" w:space="0" w:color="auto"/>
              <w:left w:val="single" w:sz="4" w:space="0" w:color="auto"/>
              <w:bottom w:val="single" w:sz="4" w:space="0" w:color="auto"/>
              <w:right w:val="single" w:sz="4" w:space="0" w:color="auto"/>
            </w:tcBorders>
            <w:hideMark/>
          </w:tcPr>
          <w:p w14:paraId="25E45C06" w14:textId="77777777" w:rsidR="00383FE0" w:rsidRDefault="00383FE0">
            <w:pPr>
              <w:rPr>
                <w:rFonts w:ascii="Arial" w:hAnsi="Arial" w:cs="Arial"/>
                <w:color w:val="000000" w:themeColor="text1"/>
                <w:sz w:val="24"/>
                <w:szCs w:val="24"/>
              </w:rPr>
            </w:pPr>
            <w:r>
              <w:rPr>
                <w:rFonts w:ascii="Arial" w:hAnsi="Arial" w:cs="Arial"/>
                <w:i/>
                <w:iCs/>
                <w:color w:val="000000" w:themeColor="text1"/>
                <w:sz w:val="24"/>
                <w:szCs w:val="24"/>
              </w:rPr>
              <w:t>notice of their appeal hearing</w:t>
            </w:r>
          </w:p>
        </w:tc>
        <w:tc>
          <w:tcPr>
            <w:tcW w:w="4675" w:type="dxa"/>
            <w:tcBorders>
              <w:top w:val="single" w:sz="4" w:space="0" w:color="auto"/>
              <w:left w:val="single" w:sz="4" w:space="0" w:color="auto"/>
              <w:bottom w:val="single" w:sz="4" w:space="0" w:color="auto"/>
              <w:right w:val="single" w:sz="4" w:space="0" w:color="auto"/>
            </w:tcBorders>
            <w:hideMark/>
          </w:tcPr>
          <w:p w14:paraId="44AB0A14" w14:textId="200A2E86" w:rsidR="00383FE0" w:rsidRDefault="00383FE0">
            <w:pPr>
              <w:rPr>
                <w:rFonts w:ascii="Arial" w:hAnsi="Arial" w:cs="Arial"/>
                <w:color w:val="000000" w:themeColor="text1"/>
                <w:sz w:val="24"/>
                <w:szCs w:val="24"/>
              </w:rPr>
            </w:pPr>
            <w:r>
              <w:rPr>
                <w:rFonts w:ascii="Arial" w:hAnsi="Arial" w:cs="Arial"/>
                <w:i/>
                <w:iCs/>
                <w:color w:val="000000" w:themeColor="text1"/>
                <w:sz w:val="24"/>
                <w:szCs w:val="24"/>
              </w:rPr>
              <w:t>10 school days</w:t>
            </w:r>
            <w:r w:rsidR="00470B97">
              <w:rPr>
                <w:rFonts w:ascii="Arial" w:hAnsi="Arial" w:cs="Arial"/>
                <w:i/>
                <w:iCs/>
                <w:color w:val="000000" w:themeColor="text1"/>
                <w:sz w:val="24"/>
                <w:szCs w:val="24"/>
              </w:rPr>
              <w:t xml:space="preserve"> in advance</w:t>
            </w:r>
          </w:p>
        </w:tc>
      </w:tr>
      <w:tr w:rsidR="00383FE0" w14:paraId="379BDCE3" w14:textId="77777777" w:rsidTr="00383FE0">
        <w:trPr>
          <w:trHeight w:val="1471"/>
        </w:trPr>
        <w:tc>
          <w:tcPr>
            <w:tcW w:w="4675" w:type="dxa"/>
            <w:tcBorders>
              <w:top w:val="single" w:sz="4" w:space="0" w:color="auto"/>
              <w:left w:val="single" w:sz="4" w:space="0" w:color="auto"/>
              <w:bottom w:val="single" w:sz="4" w:space="0" w:color="auto"/>
              <w:right w:val="single" w:sz="4" w:space="0" w:color="auto"/>
            </w:tcBorders>
          </w:tcPr>
          <w:p w14:paraId="55570B65" w14:textId="77777777" w:rsidR="00470B97" w:rsidRDefault="00383FE0" w:rsidP="00B806B8">
            <w:pPr>
              <w:pStyle w:val="Default"/>
              <w:numPr>
                <w:ilvl w:val="0"/>
                <w:numId w:val="1"/>
              </w:numPr>
              <w:rPr>
                <w:i/>
                <w:iCs/>
                <w:color w:val="000000" w:themeColor="text1"/>
              </w:rPr>
            </w:pPr>
            <w:r>
              <w:rPr>
                <w:i/>
                <w:iCs/>
                <w:color w:val="000000" w:themeColor="text1"/>
              </w:rPr>
              <w:t xml:space="preserve">reasonable deadlines for appellants to submit additional evidence, </w:t>
            </w:r>
          </w:p>
          <w:p w14:paraId="17A5A580" w14:textId="77777777" w:rsidR="00470B97" w:rsidRDefault="00470B97" w:rsidP="00B806B8">
            <w:pPr>
              <w:pStyle w:val="Default"/>
              <w:numPr>
                <w:ilvl w:val="0"/>
                <w:numId w:val="1"/>
              </w:numPr>
              <w:rPr>
                <w:i/>
                <w:iCs/>
                <w:color w:val="000000" w:themeColor="text1"/>
              </w:rPr>
            </w:pPr>
          </w:p>
          <w:p w14:paraId="734CF15F" w14:textId="77777777" w:rsidR="00207295" w:rsidRDefault="00207295" w:rsidP="00B806B8">
            <w:pPr>
              <w:pStyle w:val="Default"/>
              <w:numPr>
                <w:ilvl w:val="0"/>
                <w:numId w:val="1"/>
              </w:numPr>
              <w:rPr>
                <w:i/>
                <w:iCs/>
                <w:color w:val="000000" w:themeColor="text1"/>
              </w:rPr>
            </w:pPr>
          </w:p>
          <w:p w14:paraId="7539001D" w14:textId="77777777" w:rsidR="00F16E95" w:rsidRDefault="00F16E95" w:rsidP="00B806B8">
            <w:pPr>
              <w:pStyle w:val="Default"/>
              <w:numPr>
                <w:ilvl w:val="0"/>
                <w:numId w:val="1"/>
              </w:numPr>
              <w:rPr>
                <w:i/>
                <w:iCs/>
                <w:color w:val="000000" w:themeColor="text1"/>
              </w:rPr>
            </w:pPr>
          </w:p>
          <w:p w14:paraId="2979A212" w14:textId="3185CDE8" w:rsidR="00470B97" w:rsidRDefault="00383FE0" w:rsidP="00B806B8">
            <w:pPr>
              <w:pStyle w:val="Default"/>
              <w:numPr>
                <w:ilvl w:val="0"/>
                <w:numId w:val="1"/>
              </w:numPr>
              <w:rPr>
                <w:i/>
                <w:iCs/>
                <w:color w:val="000000" w:themeColor="text1"/>
              </w:rPr>
            </w:pPr>
            <w:r>
              <w:rPr>
                <w:i/>
                <w:iCs/>
                <w:color w:val="000000" w:themeColor="text1"/>
              </w:rPr>
              <w:t xml:space="preserve">for admission authorities to submit their evidence, </w:t>
            </w:r>
          </w:p>
          <w:p w14:paraId="3A4B4D47" w14:textId="77777777" w:rsidR="00470B97" w:rsidRDefault="00470B97" w:rsidP="00470B97">
            <w:pPr>
              <w:pStyle w:val="ListParagraph"/>
              <w:rPr>
                <w:i/>
                <w:iCs/>
                <w:color w:val="000000" w:themeColor="text1"/>
              </w:rPr>
            </w:pPr>
          </w:p>
          <w:p w14:paraId="6DDB6D54" w14:textId="48CADC7E" w:rsidR="00383FE0" w:rsidRDefault="00383FE0" w:rsidP="00B806B8">
            <w:pPr>
              <w:pStyle w:val="Default"/>
              <w:numPr>
                <w:ilvl w:val="0"/>
                <w:numId w:val="1"/>
              </w:numPr>
              <w:rPr>
                <w:i/>
                <w:iCs/>
                <w:color w:val="000000" w:themeColor="text1"/>
              </w:rPr>
            </w:pPr>
            <w:r>
              <w:rPr>
                <w:i/>
                <w:iCs/>
                <w:color w:val="000000" w:themeColor="text1"/>
              </w:rPr>
              <w:t>and for the clerk to send appeal papers to the panel and parties</w:t>
            </w:r>
          </w:p>
          <w:p w14:paraId="15FE13D9" w14:textId="77777777" w:rsidR="00383FE0" w:rsidRDefault="00383FE0">
            <w:pPr>
              <w:rPr>
                <w:rFonts w:ascii="Arial" w:hAnsi="Arial" w:cs="Arial"/>
                <w:color w:val="000000" w:themeColor="text1"/>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68146113" w14:textId="3FF4E86F" w:rsidR="00991930" w:rsidRPr="002C4645" w:rsidRDefault="00991930" w:rsidP="00991930">
            <w:pPr>
              <w:rPr>
                <w:rFonts w:ascii="Arial" w:hAnsi="Arial" w:cs="Arial"/>
                <w:i/>
                <w:iCs/>
                <w:color w:val="000000" w:themeColor="text1"/>
                <w:sz w:val="24"/>
                <w:szCs w:val="24"/>
              </w:rPr>
            </w:pPr>
            <w:r w:rsidRPr="002C4645">
              <w:rPr>
                <w:rFonts w:ascii="Arial" w:hAnsi="Arial" w:cs="Arial"/>
                <w:i/>
                <w:iCs/>
                <w:color w:val="000000" w:themeColor="text1"/>
                <w:sz w:val="24"/>
                <w:szCs w:val="24"/>
              </w:rPr>
              <w:t xml:space="preserve">Three days in advance of the evidence by admission authorities </w:t>
            </w:r>
            <w:r w:rsidR="00F16E95" w:rsidRPr="002C4645">
              <w:rPr>
                <w:rFonts w:ascii="Arial" w:hAnsi="Arial" w:cs="Arial"/>
                <w:i/>
                <w:iCs/>
                <w:color w:val="000000" w:themeColor="text1"/>
                <w:sz w:val="24"/>
                <w:szCs w:val="24"/>
              </w:rPr>
              <w:t xml:space="preserve">being submitted (as below) </w:t>
            </w:r>
            <w:r w:rsidRPr="002C4645">
              <w:rPr>
                <w:rFonts w:ascii="Arial" w:hAnsi="Arial" w:cs="Arial"/>
                <w:i/>
                <w:iCs/>
                <w:color w:val="000000" w:themeColor="text1"/>
                <w:sz w:val="24"/>
                <w:szCs w:val="24"/>
              </w:rPr>
              <w:t>to enable this to be circulated and printed.</w:t>
            </w:r>
          </w:p>
          <w:p w14:paraId="70DD0F6F" w14:textId="77777777" w:rsidR="00991930" w:rsidRPr="002C4645" w:rsidRDefault="00991930" w:rsidP="00991930">
            <w:pPr>
              <w:rPr>
                <w:rFonts w:ascii="Arial" w:hAnsi="Arial" w:cs="Arial"/>
                <w:i/>
                <w:iCs/>
                <w:color w:val="000000" w:themeColor="text1"/>
                <w:sz w:val="24"/>
                <w:szCs w:val="24"/>
              </w:rPr>
            </w:pPr>
          </w:p>
          <w:p w14:paraId="1A7FC008" w14:textId="77777777" w:rsidR="00991930" w:rsidRPr="002C4645" w:rsidRDefault="00991930" w:rsidP="00991930">
            <w:pPr>
              <w:rPr>
                <w:rFonts w:ascii="Arial" w:hAnsi="Arial" w:cs="Arial"/>
                <w:i/>
                <w:iCs/>
                <w:color w:val="000000" w:themeColor="text1"/>
                <w:sz w:val="24"/>
                <w:szCs w:val="24"/>
              </w:rPr>
            </w:pPr>
            <w:r w:rsidRPr="002C4645">
              <w:rPr>
                <w:rFonts w:ascii="Arial" w:hAnsi="Arial" w:cs="Arial"/>
                <w:i/>
                <w:iCs/>
                <w:color w:val="000000" w:themeColor="text1"/>
                <w:sz w:val="24"/>
                <w:szCs w:val="24"/>
              </w:rPr>
              <w:t>Seven days prior to the hearing.</w:t>
            </w:r>
          </w:p>
          <w:p w14:paraId="31F6A1AA" w14:textId="77777777" w:rsidR="00991930" w:rsidRPr="002C4645" w:rsidRDefault="00991930" w:rsidP="00991930">
            <w:pPr>
              <w:rPr>
                <w:rFonts w:ascii="Arial" w:hAnsi="Arial" w:cs="Arial"/>
                <w:i/>
                <w:iCs/>
                <w:color w:val="000000" w:themeColor="text1"/>
                <w:sz w:val="24"/>
                <w:szCs w:val="24"/>
              </w:rPr>
            </w:pPr>
          </w:p>
          <w:p w14:paraId="131D7AB6" w14:textId="77777777" w:rsidR="00991930" w:rsidRPr="002C4645" w:rsidRDefault="00991930" w:rsidP="00991930">
            <w:pPr>
              <w:rPr>
                <w:rFonts w:ascii="Arial" w:hAnsi="Arial" w:cs="Arial"/>
                <w:i/>
                <w:iCs/>
                <w:color w:val="000000" w:themeColor="text1"/>
                <w:sz w:val="24"/>
                <w:szCs w:val="24"/>
              </w:rPr>
            </w:pPr>
          </w:p>
          <w:p w14:paraId="6CF94EBD" w14:textId="77777777" w:rsidR="00991930" w:rsidRPr="002C4645" w:rsidRDefault="00991930" w:rsidP="00991930">
            <w:pPr>
              <w:rPr>
                <w:rFonts w:ascii="Arial" w:hAnsi="Arial" w:cs="Arial"/>
                <w:i/>
                <w:iCs/>
                <w:color w:val="000000" w:themeColor="text1"/>
                <w:sz w:val="24"/>
                <w:szCs w:val="24"/>
              </w:rPr>
            </w:pPr>
            <w:r w:rsidRPr="002C4645">
              <w:rPr>
                <w:rFonts w:ascii="Arial" w:hAnsi="Arial" w:cs="Arial"/>
                <w:i/>
                <w:iCs/>
                <w:color w:val="000000" w:themeColor="text1"/>
                <w:sz w:val="24"/>
                <w:szCs w:val="24"/>
              </w:rPr>
              <w:t>Posted/circulated seven days prior to the hearing (sent as soon as papers received).</w:t>
            </w:r>
          </w:p>
          <w:p w14:paraId="4F4C27B3" w14:textId="4D18C781" w:rsidR="00470B97" w:rsidRDefault="00470B97">
            <w:pPr>
              <w:rPr>
                <w:rFonts w:ascii="Arial" w:hAnsi="Arial" w:cs="Arial"/>
                <w:i/>
                <w:iCs/>
                <w:color w:val="FF0000"/>
                <w:sz w:val="24"/>
                <w:szCs w:val="24"/>
              </w:rPr>
            </w:pPr>
            <w:r>
              <w:rPr>
                <w:rFonts w:ascii="Arial" w:hAnsi="Arial" w:cs="Arial"/>
                <w:i/>
                <w:iCs/>
                <w:color w:val="FF0000"/>
                <w:sz w:val="24"/>
                <w:szCs w:val="24"/>
              </w:rPr>
              <w:t xml:space="preserve"> </w:t>
            </w:r>
          </w:p>
        </w:tc>
      </w:tr>
      <w:tr w:rsidR="00383FE0" w14:paraId="5DD0E085" w14:textId="77777777" w:rsidTr="00383FE0">
        <w:tc>
          <w:tcPr>
            <w:tcW w:w="4675" w:type="dxa"/>
            <w:tcBorders>
              <w:top w:val="single" w:sz="4" w:space="0" w:color="auto"/>
              <w:left w:val="single" w:sz="4" w:space="0" w:color="auto"/>
              <w:bottom w:val="single" w:sz="4" w:space="0" w:color="auto"/>
              <w:right w:val="single" w:sz="4" w:space="0" w:color="auto"/>
            </w:tcBorders>
            <w:hideMark/>
          </w:tcPr>
          <w:p w14:paraId="7175C8A7" w14:textId="3E55CA50" w:rsidR="00383FE0" w:rsidRDefault="00130A0D">
            <w:pPr>
              <w:rPr>
                <w:rFonts w:ascii="Arial" w:hAnsi="Arial" w:cs="Arial"/>
                <w:color w:val="000000" w:themeColor="text1"/>
                <w:sz w:val="24"/>
                <w:szCs w:val="24"/>
              </w:rPr>
            </w:pPr>
            <w:r>
              <w:rPr>
                <w:rFonts w:ascii="Arial" w:hAnsi="Arial" w:cs="Arial"/>
                <w:i/>
                <w:iCs/>
                <w:color w:val="000000" w:themeColor="text1"/>
                <w:sz w:val="24"/>
                <w:szCs w:val="24"/>
              </w:rPr>
              <w:t xml:space="preserve">Appeal </w:t>
            </w:r>
            <w:r w:rsidR="00383FE0">
              <w:rPr>
                <w:rFonts w:ascii="Arial" w:hAnsi="Arial" w:cs="Arial"/>
                <w:i/>
                <w:iCs/>
                <w:color w:val="000000" w:themeColor="text1"/>
                <w:sz w:val="24"/>
                <w:szCs w:val="24"/>
              </w:rPr>
              <w:t>decision letters</w:t>
            </w:r>
            <w:r>
              <w:rPr>
                <w:rFonts w:ascii="Arial" w:hAnsi="Arial" w:cs="Arial"/>
                <w:i/>
                <w:iCs/>
                <w:color w:val="000000" w:themeColor="text1"/>
                <w:sz w:val="24"/>
                <w:szCs w:val="24"/>
              </w:rPr>
              <w:t xml:space="preserve"> sent by the clerk</w:t>
            </w:r>
          </w:p>
        </w:tc>
        <w:tc>
          <w:tcPr>
            <w:tcW w:w="4675" w:type="dxa"/>
            <w:tcBorders>
              <w:top w:val="single" w:sz="4" w:space="0" w:color="auto"/>
              <w:left w:val="single" w:sz="4" w:space="0" w:color="auto"/>
              <w:bottom w:val="single" w:sz="4" w:space="0" w:color="auto"/>
              <w:right w:val="single" w:sz="4" w:space="0" w:color="auto"/>
            </w:tcBorders>
            <w:hideMark/>
          </w:tcPr>
          <w:p w14:paraId="4E9FA6DA" w14:textId="77777777" w:rsidR="00383FE0" w:rsidRDefault="00383FE0">
            <w:pPr>
              <w:rPr>
                <w:rFonts w:ascii="Arial" w:hAnsi="Arial" w:cs="Arial"/>
                <w:color w:val="000000" w:themeColor="text1"/>
                <w:sz w:val="24"/>
                <w:szCs w:val="24"/>
              </w:rPr>
            </w:pPr>
            <w:r>
              <w:rPr>
                <w:rFonts w:ascii="Arial" w:hAnsi="Arial" w:cs="Arial"/>
                <w:i/>
                <w:iCs/>
                <w:color w:val="000000" w:themeColor="text1"/>
                <w:sz w:val="24"/>
                <w:szCs w:val="24"/>
              </w:rPr>
              <w:t>within five school days of the hearing wherever possible</w:t>
            </w:r>
          </w:p>
        </w:tc>
      </w:tr>
      <w:tr w:rsidR="00383FE0" w14:paraId="73951BEE" w14:textId="77777777" w:rsidTr="00383FE0">
        <w:tc>
          <w:tcPr>
            <w:tcW w:w="4675" w:type="dxa"/>
            <w:tcBorders>
              <w:top w:val="single" w:sz="4" w:space="0" w:color="auto"/>
              <w:left w:val="single" w:sz="4" w:space="0" w:color="auto"/>
              <w:bottom w:val="single" w:sz="4" w:space="0" w:color="auto"/>
              <w:right w:val="single" w:sz="4" w:space="0" w:color="auto"/>
            </w:tcBorders>
            <w:hideMark/>
          </w:tcPr>
          <w:p w14:paraId="31423AAA" w14:textId="77777777" w:rsidR="00383FE0" w:rsidRDefault="00383FE0">
            <w:pPr>
              <w:rPr>
                <w:rFonts w:ascii="Arial" w:hAnsi="Arial" w:cs="Arial"/>
                <w:color w:val="000000" w:themeColor="text1"/>
                <w:sz w:val="24"/>
                <w:szCs w:val="24"/>
              </w:rPr>
            </w:pPr>
            <w:r>
              <w:rPr>
                <w:rFonts w:ascii="Arial" w:hAnsi="Arial" w:cs="Arial"/>
                <w:i/>
                <w:iCs/>
                <w:color w:val="000000" w:themeColor="text1"/>
                <w:sz w:val="24"/>
                <w:szCs w:val="24"/>
              </w:rPr>
              <w:t xml:space="preserve">Admission authorities </w:t>
            </w:r>
            <w:r>
              <w:rPr>
                <w:rFonts w:ascii="Arial" w:hAnsi="Arial" w:cs="Arial"/>
                <w:b/>
                <w:bCs/>
                <w:i/>
                <w:iCs/>
                <w:color w:val="000000" w:themeColor="text1"/>
                <w:sz w:val="24"/>
                <w:szCs w:val="24"/>
              </w:rPr>
              <w:t xml:space="preserve">must </w:t>
            </w:r>
            <w:r>
              <w:rPr>
                <w:rFonts w:ascii="Arial" w:hAnsi="Arial" w:cs="Arial"/>
                <w:i/>
                <w:iCs/>
                <w:color w:val="000000" w:themeColor="text1"/>
                <w:sz w:val="24"/>
                <w:szCs w:val="24"/>
              </w:rPr>
              <w:t>ensure that appeals lodged by the appropriate deadlines are heard within the following timescales</w:t>
            </w:r>
          </w:p>
        </w:tc>
        <w:tc>
          <w:tcPr>
            <w:tcW w:w="4675" w:type="dxa"/>
            <w:tcBorders>
              <w:top w:val="single" w:sz="4" w:space="0" w:color="auto"/>
              <w:left w:val="single" w:sz="4" w:space="0" w:color="auto"/>
              <w:bottom w:val="single" w:sz="4" w:space="0" w:color="auto"/>
              <w:right w:val="single" w:sz="4" w:space="0" w:color="auto"/>
            </w:tcBorders>
          </w:tcPr>
          <w:p w14:paraId="54D15842" w14:textId="77777777" w:rsidR="00383FE0" w:rsidRDefault="00383FE0">
            <w:pPr>
              <w:rPr>
                <w:rFonts w:ascii="Arial" w:hAnsi="Arial" w:cs="Arial"/>
                <w:b/>
                <w:bCs/>
                <w:i/>
                <w:iCs/>
                <w:color w:val="000000" w:themeColor="text1"/>
                <w:sz w:val="24"/>
                <w:szCs w:val="24"/>
              </w:rPr>
            </w:pPr>
            <w:r>
              <w:rPr>
                <w:rFonts w:ascii="Arial" w:hAnsi="Arial" w:cs="Arial"/>
                <w:b/>
                <w:bCs/>
                <w:i/>
                <w:iCs/>
                <w:color w:val="000000" w:themeColor="text1"/>
                <w:sz w:val="24"/>
                <w:szCs w:val="24"/>
              </w:rPr>
              <w:t>For Statutory School age entry (Reception, Year 3 for separate Junior School and Year 7 entry to Secondary school)</w:t>
            </w:r>
          </w:p>
          <w:p w14:paraId="7E33C745" w14:textId="77777777" w:rsidR="00383FE0" w:rsidRDefault="00383FE0">
            <w:pPr>
              <w:rPr>
                <w:rFonts w:ascii="Arial" w:hAnsi="Arial" w:cs="Arial"/>
                <w:i/>
                <w:iCs/>
                <w:color w:val="000000" w:themeColor="text1"/>
                <w:sz w:val="24"/>
                <w:szCs w:val="24"/>
              </w:rPr>
            </w:pPr>
          </w:p>
          <w:p w14:paraId="2370A677" w14:textId="77777777" w:rsidR="00383FE0" w:rsidRDefault="00383FE0">
            <w:pPr>
              <w:rPr>
                <w:rFonts w:ascii="Arial" w:hAnsi="Arial" w:cs="Arial"/>
                <w:i/>
                <w:iCs/>
                <w:color w:val="000000" w:themeColor="text1"/>
                <w:sz w:val="24"/>
                <w:szCs w:val="24"/>
              </w:rPr>
            </w:pPr>
            <w:r>
              <w:rPr>
                <w:rFonts w:ascii="Arial" w:hAnsi="Arial" w:cs="Arial"/>
                <w:i/>
                <w:iCs/>
                <w:color w:val="000000" w:themeColor="text1"/>
                <w:sz w:val="24"/>
                <w:szCs w:val="24"/>
              </w:rPr>
              <w:t xml:space="preserve"> for applications made in the normal admissions round (notified on National </w:t>
            </w:r>
            <w:proofErr w:type="gramStart"/>
            <w:r>
              <w:rPr>
                <w:rFonts w:ascii="Arial" w:hAnsi="Arial" w:cs="Arial"/>
                <w:i/>
                <w:iCs/>
                <w:color w:val="000000" w:themeColor="text1"/>
                <w:sz w:val="24"/>
                <w:szCs w:val="24"/>
              </w:rPr>
              <w:t>Offer day</w:t>
            </w:r>
            <w:proofErr w:type="gramEnd"/>
            <w:r>
              <w:rPr>
                <w:rFonts w:ascii="Arial" w:hAnsi="Arial" w:cs="Arial"/>
                <w:i/>
                <w:iCs/>
                <w:color w:val="000000" w:themeColor="text1"/>
                <w:sz w:val="24"/>
                <w:szCs w:val="24"/>
              </w:rPr>
              <w:t xml:space="preserve"> – 1</w:t>
            </w:r>
            <w:r>
              <w:rPr>
                <w:rFonts w:ascii="Arial" w:hAnsi="Arial" w:cs="Arial"/>
                <w:i/>
                <w:iCs/>
                <w:color w:val="000000" w:themeColor="text1"/>
                <w:sz w:val="24"/>
                <w:szCs w:val="24"/>
                <w:vertAlign w:val="superscript"/>
              </w:rPr>
              <w:t>st</w:t>
            </w:r>
            <w:r>
              <w:rPr>
                <w:rFonts w:ascii="Arial" w:hAnsi="Arial" w:cs="Arial"/>
                <w:i/>
                <w:iCs/>
                <w:color w:val="000000" w:themeColor="text1"/>
                <w:sz w:val="24"/>
                <w:szCs w:val="24"/>
              </w:rPr>
              <w:t xml:space="preserve"> March for Secondary and 16</w:t>
            </w:r>
            <w:r>
              <w:rPr>
                <w:rFonts w:ascii="Arial" w:hAnsi="Arial" w:cs="Arial"/>
                <w:i/>
                <w:iCs/>
                <w:color w:val="000000" w:themeColor="text1"/>
                <w:sz w:val="24"/>
                <w:szCs w:val="24"/>
                <w:vertAlign w:val="superscript"/>
              </w:rPr>
              <w:t>th</w:t>
            </w:r>
            <w:r>
              <w:rPr>
                <w:rFonts w:ascii="Arial" w:hAnsi="Arial" w:cs="Arial"/>
                <w:i/>
                <w:iCs/>
                <w:color w:val="000000" w:themeColor="text1"/>
                <w:sz w:val="24"/>
                <w:szCs w:val="24"/>
              </w:rPr>
              <w:t xml:space="preserve"> April for Primary), appeals </w:t>
            </w:r>
            <w:r>
              <w:rPr>
                <w:rFonts w:ascii="Arial" w:hAnsi="Arial" w:cs="Arial"/>
                <w:b/>
                <w:bCs/>
                <w:i/>
                <w:iCs/>
                <w:color w:val="000000" w:themeColor="text1"/>
                <w:sz w:val="24"/>
                <w:szCs w:val="24"/>
              </w:rPr>
              <w:t xml:space="preserve">must </w:t>
            </w:r>
            <w:r>
              <w:rPr>
                <w:rFonts w:ascii="Arial" w:hAnsi="Arial" w:cs="Arial"/>
                <w:i/>
                <w:iCs/>
                <w:color w:val="000000" w:themeColor="text1"/>
                <w:sz w:val="24"/>
                <w:szCs w:val="24"/>
              </w:rPr>
              <w:t>be heard within 40 school days of the deadline for lodging appeals</w:t>
            </w:r>
          </w:p>
          <w:p w14:paraId="33AEFB92" w14:textId="77777777" w:rsidR="00383FE0" w:rsidRDefault="00383FE0">
            <w:pPr>
              <w:rPr>
                <w:rFonts w:ascii="Arial" w:hAnsi="Arial" w:cs="Arial"/>
                <w:color w:val="000000" w:themeColor="text1"/>
                <w:sz w:val="24"/>
                <w:szCs w:val="24"/>
              </w:rPr>
            </w:pPr>
          </w:p>
          <w:p w14:paraId="5AF5EFCC" w14:textId="77777777" w:rsidR="00383FE0" w:rsidRDefault="00383FE0" w:rsidP="00B806B8">
            <w:pPr>
              <w:pStyle w:val="Default"/>
              <w:numPr>
                <w:ilvl w:val="0"/>
                <w:numId w:val="2"/>
              </w:numPr>
              <w:rPr>
                <w:i/>
                <w:iCs/>
                <w:color w:val="000000" w:themeColor="text1"/>
              </w:rPr>
            </w:pPr>
            <w:r>
              <w:rPr>
                <w:i/>
                <w:iCs/>
                <w:color w:val="000000" w:themeColor="text1"/>
              </w:rPr>
              <w:t xml:space="preserve">for late applications (notified after the national offer days), appeals should be heard within 40 school days from the deadline for lodging appeals where possible, or within 30 school days of the appeal being </w:t>
            </w:r>
            <w:proofErr w:type="gramStart"/>
            <w:r>
              <w:rPr>
                <w:i/>
                <w:iCs/>
                <w:color w:val="000000" w:themeColor="text1"/>
              </w:rPr>
              <w:t>lodged;</w:t>
            </w:r>
            <w:proofErr w:type="gramEnd"/>
            <w:r>
              <w:rPr>
                <w:i/>
                <w:iCs/>
                <w:color w:val="000000" w:themeColor="text1"/>
              </w:rPr>
              <w:t xml:space="preserve"> </w:t>
            </w:r>
          </w:p>
          <w:p w14:paraId="27FD4432" w14:textId="77777777" w:rsidR="00383FE0" w:rsidRDefault="00383FE0">
            <w:pPr>
              <w:pStyle w:val="Default"/>
              <w:rPr>
                <w:i/>
                <w:iCs/>
                <w:color w:val="000000" w:themeColor="text1"/>
              </w:rPr>
            </w:pPr>
          </w:p>
          <w:p w14:paraId="3A2DF8E6" w14:textId="77777777" w:rsidR="00383FE0" w:rsidRDefault="00383FE0">
            <w:pPr>
              <w:pStyle w:val="Default"/>
              <w:rPr>
                <w:i/>
                <w:iCs/>
                <w:color w:val="000000" w:themeColor="text1"/>
              </w:rPr>
            </w:pPr>
            <w:r>
              <w:rPr>
                <w:i/>
                <w:iCs/>
                <w:color w:val="000000" w:themeColor="text1"/>
              </w:rPr>
              <w:t xml:space="preserve">for applications for in-year admissions, appeals </w:t>
            </w:r>
            <w:r>
              <w:rPr>
                <w:b/>
                <w:bCs/>
                <w:i/>
                <w:iCs/>
                <w:color w:val="000000" w:themeColor="text1"/>
              </w:rPr>
              <w:t xml:space="preserve">must </w:t>
            </w:r>
            <w:r>
              <w:rPr>
                <w:i/>
                <w:iCs/>
                <w:color w:val="000000" w:themeColor="text1"/>
              </w:rPr>
              <w:t>be heard within 30 school days of the appeal being lodged</w:t>
            </w:r>
          </w:p>
          <w:p w14:paraId="10B25504" w14:textId="77777777" w:rsidR="00383FE0" w:rsidRDefault="00383FE0">
            <w:pPr>
              <w:pStyle w:val="Default"/>
              <w:rPr>
                <w:i/>
                <w:iCs/>
                <w:color w:val="000000" w:themeColor="text1"/>
              </w:rPr>
            </w:pPr>
          </w:p>
          <w:p w14:paraId="24743C8B" w14:textId="77777777" w:rsidR="00383FE0" w:rsidRDefault="00383FE0" w:rsidP="00B806B8">
            <w:pPr>
              <w:pStyle w:val="Default"/>
              <w:numPr>
                <w:ilvl w:val="0"/>
                <w:numId w:val="2"/>
              </w:numPr>
              <w:rPr>
                <w:b/>
                <w:bCs/>
                <w:i/>
                <w:iCs/>
                <w:color w:val="000000" w:themeColor="text1"/>
              </w:rPr>
            </w:pPr>
            <w:r>
              <w:rPr>
                <w:b/>
                <w:bCs/>
                <w:i/>
                <w:iCs/>
                <w:color w:val="000000" w:themeColor="text1"/>
              </w:rPr>
              <w:t xml:space="preserve">for applications to sixth forms: </w:t>
            </w:r>
          </w:p>
          <w:p w14:paraId="1A435BEB" w14:textId="77777777" w:rsidR="00383FE0" w:rsidRDefault="00383FE0">
            <w:pPr>
              <w:pStyle w:val="ListParagraph"/>
              <w:rPr>
                <w:i/>
                <w:iCs/>
                <w:color w:val="000000" w:themeColor="text1"/>
              </w:rPr>
            </w:pPr>
          </w:p>
          <w:p w14:paraId="2529FB6C" w14:textId="77777777" w:rsidR="00383FE0" w:rsidRDefault="00383FE0" w:rsidP="00B806B8">
            <w:pPr>
              <w:pStyle w:val="Default"/>
              <w:numPr>
                <w:ilvl w:val="3"/>
                <w:numId w:val="2"/>
              </w:numPr>
              <w:rPr>
                <w:i/>
                <w:iCs/>
                <w:color w:val="000000" w:themeColor="text1"/>
              </w:rPr>
            </w:pPr>
            <w:r>
              <w:rPr>
                <w:i/>
                <w:iCs/>
                <w:color w:val="000000" w:themeColor="text1"/>
              </w:rPr>
              <w:t xml:space="preserve">i) where the offer of a place would have been conditional upon exam results, appeals </w:t>
            </w:r>
            <w:r>
              <w:rPr>
                <w:b/>
                <w:bCs/>
                <w:i/>
                <w:iCs/>
                <w:color w:val="000000" w:themeColor="text1"/>
              </w:rPr>
              <w:t xml:space="preserve">must </w:t>
            </w:r>
            <w:r>
              <w:rPr>
                <w:i/>
                <w:iCs/>
                <w:color w:val="000000" w:themeColor="text1"/>
              </w:rPr>
              <w:t xml:space="preserve">be heard within 30 school days of confirmation of those results and subsequent appeal </w:t>
            </w:r>
            <w:proofErr w:type="gramStart"/>
            <w:r>
              <w:rPr>
                <w:i/>
                <w:iCs/>
                <w:color w:val="000000" w:themeColor="text1"/>
              </w:rPr>
              <w:t>submission;</w:t>
            </w:r>
            <w:proofErr w:type="gramEnd"/>
            <w:r>
              <w:rPr>
                <w:i/>
                <w:iCs/>
                <w:color w:val="000000" w:themeColor="text1"/>
              </w:rPr>
              <w:t xml:space="preserve"> </w:t>
            </w:r>
          </w:p>
          <w:p w14:paraId="569F28C9" w14:textId="77777777" w:rsidR="00383FE0" w:rsidRDefault="00383FE0">
            <w:pPr>
              <w:pStyle w:val="Default"/>
              <w:rPr>
                <w:i/>
                <w:iCs/>
                <w:color w:val="000000" w:themeColor="text1"/>
              </w:rPr>
            </w:pPr>
          </w:p>
          <w:p w14:paraId="32EC9CF5" w14:textId="77777777" w:rsidR="00383FE0" w:rsidRDefault="00383FE0">
            <w:pPr>
              <w:pStyle w:val="Default"/>
              <w:rPr>
                <w:i/>
                <w:iCs/>
                <w:color w:val="000000" w:themeColor="text1"/>
              </w:rPr>
            </w:pPr>
            <w:r>
              <w:rPr>
                <w:i/>
                <w:iCs/>
                <w:color w:val="000000" w:themeColor="text1"/>
              </w:rPr>
              <w:t xml:space="preserve">ii) where the offer of a place would not have been conditional upon exam results, appeals </w:t>
            </w:r>
            <w:r>
              <w:rPr>
                <w:b/>
                <w:bCs/>
                <w:i/>
                <w:iCs/>
                <w:color w:val="000000" w:themeColor="text1"/>
              </w:rPr>
              <w:t xml:space="preserve">must </w:t>
            </w:r>
            <w:r>
              <w:rPr>
                <w:i/>
                <w:iCs/>
                <w:color w:val="000000" w:themeColor="text1"/>
              </w:rPr>
              <w:t xml:space="preserve">be heard within 40 school days of the deadline for lodging </w:t>
            </w:r>
            <w:proofErr w:type="gramStart"/>
            <w:r>
              <w:rPr>
                <w:i/>
                <w:iCs/>
                <w:color w:val="000000" w:themeColor="text1"/>
              </w:rPr>
              <w:t>appeals;</w:t>
            </w:r>
            <w:proofErr w:type="gramEnd"/>
            <w:r>
              <w:rPr>
                <w:i/>
                <w:iCs/>
                <w:color w:val="000000" w:themeColor="text1"/>
              </w:rPr>
              <w:t xml:space="preserve"> </w:t>
            </w:r>
          </w:p>
          <w:p w14:paraId="3A4E3919" w14:textId="77777777" w:rsidR="00383FE0" w:rsidRDefault="00383FE0">
            <w:pPr>
              <w:pStyle w:val="Default"/>
              <w:rPr>
                <w:i/>
                <w:iCs/>
                <w:color w:val="000000" w:themeColor="text1"/>
              </w:rPr>
            </w:pPr>
          </w:p>
          <w:p w14:paraId="65F1429B" w14:textId="77777777" w:rsidR="00383FE0" w:rsidRDefault="00383FE0">
            <w:pPr>
              <w:rPr>
                <w:rFonts w:ascii="Arial" w:hAnsi="Arial" w:cs="Arial"/>
                <w:color w:val="000000" w:themeColor="text1"/>
                <w:sz w:val="24"/>
                <w:szCs w:val="24"/>
              </w:rPr>
            </w:pPr>
          </w:p>
        </w:tc>
      </w:tr>
      <w:tr w:rsidR="00130A0D" w14:paraId="310E2FBA" w14:textId="77777777" w:rsidTr="00383FE0">
        <w:tc>
          <w:tcPr>
            <w:tcW w:w="4675" w:type="dxa"/>
            <w:tcBorders>
              <w:top w:val="single" w:sz="4" w:space="0" w:color="auto"/>
              <w:left w:val="single" w:sz="4" w:space="0" w:color="auto"/>
              <w:bottom w:val="single" w:sz="4" w:space="0" w:color="auto"/>
              <w:right w:val="single" w:sz="4" w:space="0" w:color="auto"/>
            </w:tcBorders>
          </w:tcPr>
          <w:p w14:paraId="78592929" w14:textId="5B8A1D2A" w:rsidR="00130A0D" w:rsidRPr="00130A0D" w:rsidRDefault="00130A0D">
            <w:pPr>
              <w:rPr>
                <w:rFonts w:ascii="Arial" w:hAnsi="Arial" w:cs="Arial"/>
                <w:i/>
                <w:iCs/>
                <w:color w:val="000000" w:themeColor="text1"/>
                <w:sz w:val="24"/>
                <w:szCs w:val="24"/>
              </w:rPr>
            </w:pPr>
            <w:r w:rsidRPr="00130A0D">
              <w:rPr>
                <w:rFonts w:ascii="Arial" w:hAnsi="Arial" w:cs="Arial"/>
                <w:i/>
                <w:iCs/>
                <w:color w:val="0D0D0D"/>
                <w:sz w:val="24"/>
                <w:szCs w:val="24"/>
              </w:rPr>
              <w:lastRenderedPageBreak/>
              <w:t xml:space="preserve">Any appeals submitted after the appropriate deadline </w:t>
            </w:r>
            <w:r w:rsidRPr="00130A0D">
              <w:rPr>
                <w:rFonts w:ascii="Arial" w:hAnsi="Arial" w:cs="Arial"/>
                <w:b/>
                <w:bCs/>
                <w:i/>
                <w:iCs/>
                <w:color w:val="0D0D0D"/>
                <w:sz w:val="24"/>
                <w:szCs w:val="24"/>
              </w:rPr>
              <w:t xml:space="preserve">must </w:t>
            </w:r>
            <w:r w:rsidRPr="00130A0D">
              <w:rPr>
                <w:rFonts w:ascii="Arial" w:hAnsi="Arial" w:cs="Arial"/>
                <w:i/>
                <w:iCs/>
                <w:color w:val="0D0D0D"/>
                <w:sz w:val="24"/>
                <w:szCs w:val="24"/>
              </w:rPr>
              <w:t>still be heard, in accordance with whatever timescale is set out in the table published by the admission authority.</w:t>
            </w:r>
          </w:p>
        </w:tc>
        <w:tc>
          <w:tcPr>
            <w:tcW w:w="4675" w:type="dxa"/>
            <w:tcBorders>
              <w:top w:val="single" w:sz="4" w:space="0" w:color="auto"/>
              <w:left w:val="single" w:sz="4" w:space="0" w:color="auto"/>
              <w:bottom w:val="single" w:sz="4" w:space="0" w:color="auto"/>
              <w:right w:val="single" w:sz="4" w:space="0" w:color="auto"/>
            </w:tcBorders>
          </w:tcPr>
          <w:p w14:paraId="18057F13" w14:textId="77777777" w:rsidR="00130A0D" w:rsidRPr="002C4645" w:rsidRDefault="00991930" w:rsidP="00991930">
            <w:pPr>
              <w:rPr>
                <w:rFonts w:ascii="Arial" w:hAnsi="Arial" w:cs="Arial"/>
                <w:i/>
                <w:iCs/>
                <w:color w:val="000000" w:themeColor="text1"/>
                <w:sz w:val="24"/>
                <w:szCs w:val="24"/>
              </w:rPr>
            </w:pPr>
            <w:r w:rsidRPr="002C4645">
              <w:rPr>
                <w:rFonts w:ascii="Arial" w:hAnsi="Arial" w:cs="Arial"/>
                <w:i/>
                <w:iCs/>
                <w:color w:val="000000" w:themeColor="text1"/>
                <w:sz w:val="24"/>
                <w:szCs w:val="24"/>
              </w:rPr>
              <w:t xml:space="preserve">Within 30 school days of the appeal being lodged. </w:t>
            </w:r>
          </w:p>
          <w:p w14:paraId="6C8877CB" w14:textId="77777777" w:rsidR="000F0A82" w:rsidRPr="002C4645" w:rsidRDefault="000F0A82" w:rsidP="00991930">
            <w:pPr>
              <w:rPr>
                <w:rFonts w:ascii="Arial" w:hAnsi="Arial" w:cs="Arial"/>
                <w:b/>
                <w:bCs/>
                <w:i/>
                <w:iCs/>
                <w:color w:val="000000" w:themeColor="text1"/>
                <w:sz w:val="24"/>
                <w:szCs w:val="24"/>
              </w:rPr>
            </w:pPr>
          </w:p>
          <w:p w14:paraId="4C28F45E" w14:textId="77777777" w:rsidR="000F0A82" w:rsidRPr="002C4645" w:rsidRDefault="000F0A82" w:rsidP="00991930">
            <w:pPr>
              <w:rPr>
                <w:rFonts w:ascii="Arial" w:hAnsi="Arial" w:cs="Arial"/>
                <w:i/>
                <w:iCs/>
                <w:color w:val="000000" w:themeColor="text1"/>
                <w:sz w:val="24"/>
                <w:szCs w:val="24"/>
              </w:rPr>
            </w:pPr>
            <w:r w:rsidRPr="002C4645">
              <w:rPr>
                <w:rFonts w:ascii="Arial" w:hAnsi="Arial" w:cs="Arial"/>
                <w:i/>
                <w:iCs/>
                <w:color w:val="000000" w:themeColor="text1"/>
                <w:sz w:val="24"/>
                <w:szCs w:val="24"/>
              </w:rPr>
              <w:t xml:space="preserve">or </w:t>
            </w:r>
          </w:p>
          <w:p w14:paraId="07FAA000" w14:textId="77777777" w:rsidR="000F0A82" w:rsidRPr="002C4645" w:rsidRDefault="000F0A82" w:rsidP="00991930">
            <w:pPr>
              <w:rPr>
                <w:rFonts w:ascii="Arial" w:hAnsi="Arial" w:cs="Arial"/>
                <w:i/>
                <w:iCs/>
                <w:color w:val="000000" w:themeColor="text1"/>
                <w:sz w:val="24"/>
                <w:szCs w:val="24"/>
              </w:rPr>
            </w:pPr>
          </w:p>
          <w:p w14:paraId="7C4A0B98" w14:textId="0D16C085" w:rsidR="000F0A82" w:rsidRPr="002C4645" w:rsidRDefault="000F0A82" w:rsidP="00991930">
            <w:pPr>
              <w:rPr>
                <w:rFonts w:ascii="Arial" w:hAnsi="Arial" w:cs="Arial"/>
                <w:i/>
                <w:iCs/>
                <w:color w:val="000000" w:themeColor="text1"/>
                <w:sz w:val="24"/>
                <w:szCs w:val="24"/>
              </w:rPr>
            </w:pPr>
            <w:r w:rsidRPr="002C4645">
              <w:rPr>
                <w:rFonts w:ascii="Arial" w:hAnsi="Arial" w:cs="Arial"/>
                <w:i/>
                <w:iCs/>
                <w:color w:val="000000" w:themeColor="text1"/>
                <w:sz w:val="24"/>
                <w:szCs w:val="24"/>
              </w:rPr>
              <w:t>40 school days from the deadline for lodging an appeal in the normal round of appeals.</w:t>
            </w:r>
          </w:p>
          <w:p w14:paraId="0F8D0BE6" w14:textId="34D8CD55" w:rsidR="000F0A82" w:rsidRDefault="000F0A82" w:rsidP="00991930">
            <w:pPr>
              <w:rPr>
                <w:rFonts w:ascii="Arial" w:hAnsi="Arial" w:cs="Arial"/>
                <w:b/>
                <w:bCs/>
                <w:i/>
                <w:iCs/>
                <w:color w:val="000000" w:themeColor="text1"/>
                <w:sz w:val="24"/>
                <w:szCs w:val="24"/>
              </w:rPr>
            </w:pPr>
          </w:p>
        </w:tc>
      </w:tr>
    </w:tbl>
    <w:p w14:paraId="3A5D81AE" w14:textId="77777777" w:rsidR="00383FE0" w:rsidRDefault="00383FE0" w:rsidP="00383FE0">
      <w:pPr>
        <w:rPr>
          <w:rFonts w:ascii="Arial" w:hAnsi="Arial" w:cs="Arial"/>
          <w:color w:val="000000" w:themeColor="text1"/>
          <w:sz w:val="24"/>
          <w:szCs w:val="24"/>
        </w:rPr>
      </w:pPr>
    </w:p>
    <w:p w14:paraId="0D70661B" w14:textId="77777777" w:rsidR="00470B97" w:rsidRDefault="00383FE0" w:rsidP="00383FE0">
      <w:pPr>
        <w:rPr>
          <w:rFonts w:ascii="Arial" w:hAnsi="Arial" w:cs="Arial"/>
          <w:sz w:val="24"/>
          <w:szCs w:val="24"/>
        </w:rPr>
      </w:pPr>
      <w:r>
        <w:rPr>
          <w:rFonts w:ascii="Arial" w:hAnsi="Arial" w:cs="Arial"/>
          <w:color w:val="000000" w:themeColor="text1"/>
          <w:sz w:val="24"/>
          <w:szCs w:val="24"/>
        </w:rPr>
        <w:t xml:space="preserve">Admission decision letters give the details of how to appeal </w:t>
      </w:r>
      <w:r w:rsidR="00470B97">
        <w:rPr>
          <w:rFonts w:ascii="Arial" w:hAnsi="Arial" w:cs="Arial"/>
          <w:color w:val="000000" w:themeColor="text1"/>
          <w:sz w:val="24"/>
          <w:szCs w:val="24"/>
        </w:rPr>
        <w:t xml:space="preserve">the decision to refuse a school place </w:t>
      </w:r>
      <w:r>
        <w:rPr>
          <w:rFonts w:ascii="Arial" w:hAnsi="Arial" w:cs="Arial"/>
          <w:color w:val="000000" w:themeColor="text1"/>
          <w:sz w:val="24"/>
          <w:szCs w:val="24"/>
        </w:rPr>
        <w:t>and c</w:t>
      </w:r>
      <w:r>
        <w:rPr>
          <w:rFonts w:ascii="Arial" w:hAnsi="Arial" w:cs="Arial"/>
          <w:sz w:val="24"/>
          <w:szCs w:val="24"/>
        </w:rPr>
        <w:t>ompleted appeal forms should be emailed to</w:t>
      </w:r>
      <w:r w:rsidR="00470B97">
        <w:rPr>
          <w:rFonts w:ascii="Arial" w:hAnsi="Arial" w:cs="Arial"/>
          <w:sz w:val="24"/>
          <w:szCs w:val="24"/>
        </w:rPr>
        <w:t>:</w:t>
      </w:r>
    </w:p>
    <w:p w14:paraId="0E744270" w14:textId="77777777" w:rsidR="00470B97" w:rsidRDefault="00470B97" w:rsidP="00383FE0">
      <w:pPr>
        <w:rPr>
          <w:rFonts w:ascii="Arial" w:hAnsi="Arial" w:cs="Arial"/>
          <w:sz w:val="24"/>
          <w:szCs w:val="24"/>
        </w:rPr>
      </w:pPr>
    </w:p>
    <w:p w14:paraId="5D815213" w14:textId="77777777" w:rsidR="00470B97" w:rsidRDefault="002C4645" w:rsidP="00383FE0">
      <w:pPr>
        <w:rPr>
          <w:rStyle w:val="Hyperlink"/>
          <w:rFonts w:ascii="Arial" w:hAnsi="Arial" w:cs="Arial"/>
          <w:color w:val="0000FF"/>
          <w:sz w:val="24"/>
          <w:szCs w:val="24"/>
        </w:rPr>
      </w:pPr>
      <w:hyperlink r:id="rId5" w:history="1">
        <w:r w:rsidR="00383FE0" w:rsidRPr="00470B97">
          <w:rPr>
            <w:rStyle w:val="Hyperlink"/>
            <w:rFonts w:ascii="Arial" w:hAnsi="Arial" w:cs="Arial"/>
            <w:color w:val="0000FF"/>
            <w:sz w:val="24"/>
            <w:szCs w:val="24"/>
          </w:rPr>
          <w:t xml:space="preserve">SchoolAppeals@rotherham.gov.uk </w:t>
        </w:r>
      </w:hyperlink>
    </w:p>
    <w:p w14:paraId="58114309" w14:textId="77777777" w:rsidR="00470B97" w:rsidRDefault="00470B97" w:rsidP="00383FE0">
      <w:pPr>
        <w:rPr>
          <w:rStyle w:val="Hyperlink"/>
          <w:rFonts w:ascii="Arial" w:hAnsi="Arial" w:cs="Arial"/>
          <w:color w:val="0000FF"/>
          <w:sz w:val="24"/>
          <w:szCs w:val="24"/>
        </w:rPr>
      </w:pPr>
    </w:p>
    <w:p w14:paraId="3044D2BE" w14:textId="1B9DECD3" w:rsidR="00383FE0" w:rsidRPr="00470B97" w:rsidRDefault="00383FE0" w:rsidP="00383FE0">
      <w:pPr>
        <w:rPr>
          <w:rFonts w:ascii="Arial" w:hAnsi="Arial" w:cs="Arial"/>
          <w:sz w:val="24"/>
          <w:szCs w:val="24"/>
        </w:rPr>
      </w:pPr>
      <w:r w:rsidRPr="00470B97">
        <w:rPr>
          <w:rFonts w:ascii="Arial" w:hAnsi="Arial" w:cs="Arial"/>
          <w:sz w:val="24"/>
          <w:szCs w:val="24"/>
        </w:rPr>
        <w:t xml:space="preserve">or </w:t>
      </w:r>
      <w:r w:rsidR="00470B97">
        <w:rPr>
          <w:rFonts w:ascii="Arial" w:hAnsi="Arial" w:cs="Arial"/>
          <w:sz w:val="24"/>
          <w:szCs w:val="24"/>
        </w:rPr>
        <w:t xml:space="preserve">by </w:t>
      </w:r>
      <w:r w:rsidRPr="00470B97">
        <w:rPr>
          <w:rFonts w:ascii="Arial" w:hAnsi="Arial" w:cs="Arial"/>
          <w:sz w:val="24"/>
          <w:szCs w:val="24"/>
        </w:rPr>
        <w:t>post to:</w:t>
      </w:r>
    </w:p>
    <w:p w14:paraId="5B559764" w14:textId="77777777" w:rsidR="00383FE0" w:rsidRDefault="00383FE0" w:rsidP="00383FE0">
      <w:pPr>
        <w:pStyle w:val="BodyText"/>
        <w:rPr>
          <w:sz w:val="24"/>
          <w:szCs w:val="24"/>
        </w:rPr>
      </w:pPr>
    </w:p>
    <w:p w14:paraId="7D9DC565" w14:textId="642ED310" w:rsidR="00383FE0" w:rsidRDefault="00383FE0" w:rsidP="00383FE0">
      <w:pPr>
        <w:pStyle w:val="Heading2"/>
        <w:spacing w:before="93"/>
        <w:ind w:left="0" w:right="1245"/>
        <w:rPr>
          <w:b w:val="0"/>
          <w:bCs w:val="0"/>
          <w:sz w:val="24"/>
          <w:szCs w:val="24"/>
        </w:rPr>
      </w:pPr>
      <w:r>
        <w:rPr>
          <w:b w:val="0"/>
          <w:bCs w:val="0"/>
          <w:sz w:val="24"/>
          <w:szCs w:val="24"/>
        </w:rPr>
        <w:t xml:space="preserve">The Appeal Clerk, </w:t>
      </w:r>
      <w:r w:rsidR="00470B97">
        <w:rPr>
          <w:b w:val="0"/>
          <w:bCs w:val="0"/>
          <w:sz w:val="24"/>
          <w:szCs w:val="24"/>
        </w:rPr>
        <w:t xml:space="preserve">                                                                                </w:t>
      </w:r>
      <w:r>
        <w:rPr>
          <w:b w:val="0"/>
          <w:bCs w:val="0"/>
          <w:sz w:val="24"/>
          <w:szCs w:val="24"/>
        </w:rPr>
        <w:t xml:space="preserve">Democratic Services, </w:t>
      </w:r>
      <w:r w:rsidR="00470B97">
        <w:rPr>
          <w:b w:val="0"/>
          <w:bCs w:val="0"/>
          <w:sz w:val="24"/>
          <w:szCs w:val="24"/>
        </w:rPr>
        <w:t xml:space="preserve">                                                                                       </w:t>
      </w:r>
      <w:r>
        <w:rPr>
          <w:b w:val="0"/>
          <w:bCs w:val="0"/>
          <w:sz w:val="24"/>
          <w:szCs w:val="24"/>
        </w:rPr>
        <w:t xml:space="preserve">Town Hall, </w:t>
      </w:r>
      <w:r w:rsidR="00470B97">
        <w:rPr>
          <w:b w:val="0"/>
          <w:bCs w:val="0"/>
          <w:sz w:val="24"/>
          <w:szCs w:val="24"/>
        </w:rPr>
        <w:t xml:space="preserve">                                                                                               </w:t>
      </w:r>
      <w:r>
        <w:rPr>
          <w:b w:val="0"/>
          <w:bCs w:val="0"/>
          <w:sz w:val="24"/>
          <w:szCs w:val="24"/>
        </w:rPr>
        <w:t>The Crofts,</w:t>
      </w:r>
      <w:r w:rsidR="00470B97">
        <w:rPr>
          <w:b w:val="0"/>
          <w:bCs w:val="0"/>
          <w:sz w:val="24"/>
          <w:szCs w:val="24"/>
        </w:rPr>
        <w:t xml:space="preserve">                                                                                               </w:t>
      </w:r>
      <w:r>
        <w:rPr>
          <w:b w:val="0"/>
          <w:bCs w:val="0"/>
          <w:sz w:val="24"/>
          <w:szCs w:val="24"/>
        </w:rPr>
        <w:t xml:space="preserve">Moorgate Street, </w:t>
      </w:r>
      <w:r w:rsidR="00470B97">
        <w:rPr>
          <w:b w:val="0"/>
          <w:bCs w:val="0"/>
          <w:sz w:val="24"/>
          <w:szCs w:val="24"/>
        </w:rPr>
        <w:t xml:space="preserve">                                                                                   </w:t>
      </w:r>
      <w:r>
        <w:rPr>
          <w:b w:val="0"/>
          <w:bCs w:val="0"/>
          <w:sz w:val="24"/>
          <w:szCs w:val="24"/>
        </w:rPr>
        <w:t>Rotherham</w:t>
      </w:r>
      <w:r w:rsidR="00470B97">
        <w:rPr>
          <w:b w:val="0"/>
          <w:bCs w:val="0"/>
          <w:sz w:val="24"/>
          <w:szCs w:val="24"/>
        </w:rPr>
        <w:t xml:space="preserve">,                                                                                               </w:t>
      </w:r>
      <w:r>
        <w:rPr>
          <w:b w:val="0"/>
          <w:bCs w:val="0"/>
          <w:sz w:val="24"/>
          <w:szCs w:val="24"/>
        </w:rPr>
        <w:t>S60 2TH.</w:t>
      </w:r>
    </w:p>
    <w:p w14:paraId="28AAAD60" w14:textId="77777777" w:rsidR="00383FE0" w:rsidRDefault="00383FE0" w:rsidP="00383FE0"/>
    <w:p w14:paraId="36CA151E" w14:textId="77777777" w:rsidR="00383FE0" w:rsidRDefault="00383FE0" w:rsidP="00383FE0"/>
    <w:p w14:paraId="24C8F055" w14:textId="77777777" w:rsidR="00383FE0" w:rsidRDefault="00383FE0"/>
    <w:sectPr w:rsidR="00383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48896"/>
    <w:multiLevelType w:val="hybridMultilevel"/>
    <w:tmpl w:val="EE75A05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C0770908"/>
    <w:multiLevelType w:val="hybridMultilevel"/>
    <w:tmpl w:val="52065DE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E0"/>
    <w:rsid w:val="000F0A82"/>
    <w:rsid w:val="00130A0D"/>
    <w:rsid w:val="00207295"/>
    <w:rsid w:val="002C4645"/>
    <w:rsid w:val="00383FE0"/>
    <w:rsid w:val="00470B97"/>
    <w:rsid w:val="00794022"/>
    <w:rsid w:val="00991930"/>
    <w:rsid w:val="00F1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0F90"/>
  <w15:chartTrackingRefBased/>
  <w15:docId w15:val="{3E706999-8F79-4D85-A108-B7A8B096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E0"/>
    <w:pPr>
      <w:spacing w:after="0" w:line="240" w:lineRule="auto"/>
    </w:pPr>
  </w:style>
  <w:style w:type="paragraph" w:styleId="Heading2">
    <w:name w:val="heading 2"/>
    <w:basedOn w:val="Normal"/>
    <w:link w:val="Heading2Char"/>
    <w:uiPriority w:val="9"/>
    <w:semiHidden/>
    <w:unhideWhenUsed/>
    <w:qFormat/>
    <w:rsid w:val="00383FE0"/>
    <w:pPr>
      <w:widowControl w:val="0"/>
      <w:autoSpaceDE w:val="0"/>
      <w:autoSpaceDN w:val="0"/>
      <w:ind w:left="852"/>
      <w:outlineLvl w:val="1"/>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3FE0"/>
    <w:rPr>
      <w:rFonts w:ascii="Arial" w:eastAsia="Arial" w:hAnsi="Arial" w:cs="Arial"/>
      <w:b/>
      <w:bCs/>
      <w:lang w:eastAsia="en-GB" w:bidi="en-GB"/>
    </w:rPr>
  </w:style>
  <w:style w:type="character" w:styleId="Hyperlink">
    <w:name w:val="Hyperlink"/>
    <w:basedOn w:val="DefaultParagraphFont"/>
    <w:uiPriority w:val="99"/>
    <w:semiHidden/>
    <w:unhideWhenUsed/>
    <w:rsid w:val="00383FE0"/>
    <w:rPr>
      <w:color w:val="0563C1" w:themeColor="hyperlink"/>
      <w:u w:val="single"/>
    </w:rPr>
  </w:style>
  <w:style w:type="paragraph" w:styleId="BodyText">
    <w:name w:val="Body Text"/>
    <w:basedOn w:val="Normal"/>
    <w:link w:val="BodyTextChar"/>
    <w:uiPriority w:val="1"/>
    <w:semiHidden/>
    <w:unhideWhenUsed/>
    <w:qFormat/>
    <w:rsid w:val="00383FE0"/>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383FE0"/>
    <w:rPr>
      <w:rFonts w:ascii="Arial" w:eastAsia="Arial" w:hAnsi="Arial" w:cs="Arial"/>
      <w:lang w:eastAsia="en-GB" w:bidi="en-GB"/>
    </w:rPr>
  </w:style>
  <w:style w:type="paragraph" w:styleId="ListParagraph">
    <w:name w:val="List Paragraph"/>
    <w:basedOn w:val="Normal"/>
    <w:uiPriority w:val="34"/>
    <w:qFormat/>
    <w:rsid w:val="00383FE0"/>
    <w:pPr>
      <w:ind w:left="720"/>
    </w:pPr>
  </w:style>
  <w:style w:type="paragraph" w:customStyle="1" w:styleId="Default">
    <w:name w:val="Default"/>
    <w:rsid w:val="00383FE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83F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414">
      <w:bodyDiv w:val="1"/>
      <w:marLeft w:val="0"/>
      <w:marRight w:val="0"/>
      <w:marTop w:val="0"/>
      <w:marBottom w:val="0"/>
      <w:divBdr>
        <w:top w:val="none" w:sz="0" w:space="0" w:color="auto"/>
        <w:left w:val="none" w:sz="0" w:space="0" w:color="auto"/>
        <w:bottom w:val="none" w:sz="0" w:space="0" w:color="auto"/>
        <w:right w:val="none" w:sz="0" w:space="0" w:color="auto"/>
      </w:divBdr>
    </w:div>
    <w:div w:id="624434315">
      <w:bodyDiv w:val="1"/>
      <w:marLeft w:val="0"/>
      <w:marRight w:val="0"/>
      <w:marTop w:val="0"/>
      <w:marBottom w:val="0"/>
      <w:divBdr>
        <w:top w:val="none" w:sz="0" w:space="0" w:color="auto"/>
        <w:left w:val="none" w:sz="0" w:space="0" w:color="auto"/>
        <w:bottom w:val="none" w:sz="0" w:space="0" w:color="auto"/>
        <w:right w:val="none" w:sz="0" w:space="0" w:color="auto"/>
      </w:divBdr>
    </w:div>
    <w:div w:id="205777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oolAppeals@rother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Dean Fenton</cp:lastModifiedBy>
  <cp:revision>16</cp:revision>
  <dcterms:created xsi:type="dcterms:W3CDTF">2022-09-30T14:38:00Z</dcterms:created>
  <dcterms:modified xsi:type="dcterms:W3CDTF">2022-11-07T10:18:00Z</dcterms:modified>
</cp:coreProperties>
</file>